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71D8A" w14:textId="49FB020A" w:rsidR="001E59F1" w:rsidRPr="001E59F1" w:rsidRDefault="007C32ED" w:rsidP="00EB19DA">
      <w:pPr>
        <w:spacing w:before="240"/>
        <w:ind w:firstLine="425"/>
        <w:jc w:val="center"/>
        <w:rPr>
          <w:rFonts w:eastAsia="Merriweather"/>
          <w:b/>
          <w:sz w:val="28"/>
          <w:szCs w:val="28"/>
        </w:rPr>
      </w:pPr>
      <w:r w:rsidRPr="001E59F1">
        <w:rPr>
          <w:rFonts w:eastAsia="Merriweather"/>
          <w:b/>
          <w:sz w:val="28"/>
          <w:szCs w:val="28"/>
        </w:rPr>
        <w:t xml:space="preserve">The Market Position </w:t>
      </w:r>
      <w:proofErr w:type="gramStart"/>
      <w:r w:rsidRPr="001E59F1">
        <w:rPr>
          <w:rFonts w:eastAsia="Merriweather"/>
          <w:b/>
          <w:sz w:val="28"/>
          <w:szCs w:val="28"/>
        </w:rPr>
        <w:t>Of</w:t>
      </w:r>
      <w:proofErr w:type="gramEnd"/>
      <w:r w:rsidRPr="001E59F1">
        <w:rPr>
          <w:rFonts w:eastAsia="Merriweather"/>
          <w:b/>
          <w:sz w:val="28"/>
          <w:szCs w:val="28"/>
        </w:rPr>
        <w:t xml:space="preserve"> Indonesian Areca Nut In The International Market</w:t>
      </w:r>
    </w:p>
    <w:p w14:paraId="0E1DE5F9" w14:textId="434FC6FF" w:rsidR="00E56C0A" w:rsidRPr="001E59F1" w:rsidRDefault="00D97C83" w:rsidP="00EB19DA">
      <w:pPr>
        <w:spacing w:after="0"/>
        <w:ind w:firstLine="425"/>
        <w:jc w:val="center"/>
        <w:rPr>
          <w:b/>
        </w:rPr>
      </w:pPr>
      <w:r w:rsidRPr="001E59F1">
        <w:rPr>
          <w:b/>
        </w:rPr>
        <w:t>Silviony Futrinelsa</w:t>
      </w:r>
      <w:r w:rsidR="001E59F1" w:rsidRPr="001E59F1">
        <w:rPr>
          <w:b/>
          <w:vertAlign w:val="superscript"/>
        </w:rPr>
        <w:sym w:font="Symbol" w:char="F0A9"/>
      </w:r>
      <w:r w:rsidR="00E56C0A" w:rsidRPr="001E59F1">
        <w:rPr>
          <w:b/>
        </w:rPr>
        <w:t xml:space="preserve">, </w:t>
      </w:r>
      <w:proofErr w:type="gramStart"/>
      <w:r w:rsidRPr="001E59F1">
        <w:rPr>
          <w:rFonts w:eastAsia="Merriweather"/>
          <w:b/>
        </w:rPr>
        <w:t>Suharno</w:t>
      </w:r>
      <w:r w:rsidR="003E6315" w:rsidRPr="001E59F1">
        <w:rPr>
          <w:b/>
          <w:vertAlign w:val="superscript"/>
        </w:rPr>
        <w:t xml:space="preserve"> </w:t>
      </w:r>
      <w:r w:rsidR="00E56C0A" w:rsidRPr="001E59F1">
        <w:rPr>
          <w:b/>
        </w:rPr>
        <w:t>,</w:t>
      </w:r>
      <w:proofErr w:type="gramEnd"/>
      <w:r w:rsidR="003E6315" w:rsidRPr="001E59F1">
        <w:rPr>
          <w:b/>
        </w:rPr>
        <w:t xml:space="preserve"> and </w:t>
      </w:r>
      <w:r w:rsidR="003E6315" w:rsidRPr="001E59F1">
        <w:rPr>
          <w:rFonts w:eastAsia="Merriweather"/>
          <w:b/>
        </w:rPr>
        <w:t>A</w:t>
      </w:r>
      <w:r w:rsidRPr="001E59F1">
        <w:rPr>
          <w:rFonts w:eastAsia="Merriweather"/>
          <w:b/>
        </w:rPr>
        <w:t xml:space="preserve">nisa </w:t>
      </w:r>
      <w:proofErr w:type="spellStart"/>
      <w:r w:rsidRPr="001E59F1">
        <w:rPr>
          <w:rFonts w:eastAsia="Merriweather"/>
          <w:b/>
        </w:rPr>
        <w:t>Dwi</w:t>
      </w:r>
      <w:proofErr w:type="spellEnd"/>
      <w:r w:rsidRPr="001E59F1">
        <w:rPr>
          <w:rFonts w:eastAsia="Merriweather"/>
          <w:b/>
        </w:rPr>
        <w:t xml:space="preserve"> </w:t>
      </w:r>
      <w:proofErr w:type="spellStart"/>
      <w:r w:rsidRPr="001E59F1">
        <w:rPr>
          <w:rFonts w:eastAsia="Merriweather"/>
          <w:b/>
        </w:rPr>
        <w:t>Utami</w:t>
      </w:r>
      <w:proofErr w:type="spellEnd"/>
    </w:p>
    <w:p w14:paraId="2C0C335C" w14:textId="2CC73908" w:rsidR="00E56C0A" w:rsidRPr="001E59F1" w:rsidRDefault="00E56C0A" w:rsidP="009B659D">
      <w:pPr>
        <w:spacing w:after="0"/>
        <w:ind w:left="425"/>
        <w:jc w:val="both"/>
        <w:rPr>
          <w:sz w:val="20"/>
          <w:szCs w:val="20"/>
        </w:rPr>
      </w:pPr>
      <w:r w:rsidRPr="001E59F1">
        <w:rPr>
          <w:sz w:val="20"/>
          <w:szCs w:val="20"/>
          <w:vertAlign w:val="superscript"/>
        </w:rPr>
        <w:t>1</w:t>
      </w:r>
      <w:r w:rsidR="008F735F" w:rsidRPr="001E59F1">
        <w:rPr>
          <w:sz w:val="20"/>
          <w:szCs w:val="20"/>
        </w:rPr>
        <w:t>(</w:t>
      </w:r>
      <w:r w:rsidR="008B073F" w:rsidRPr="001E59F1">
        <w:rPr>
          <w:rFonts w:eastAsia="Merriweather"/>
          <w:sz w:val="20"/>
          <w:szCs w:val="20"/>
        </w:rPr>
        <w:t xml:space="preserve">Magister </w:t>
      </w:r>
      <w:proofErr w:type="spellStart"/>
      <w:r w:rsidR="008B073F" w:rsidRPr="001E59F1">
        <w:rPr>
          <w:rFonts w:eastAsia="Merriweather"/>
          <w:sz w:val="20"/>
          <w:szCs w:val="20"/>
        </w:rPr>
        <w:t>Sains</w:t>
      </w:r>
      <w:proofErr w:type="spellEnd"/>
      <w:r w:rsidR="008B073F" w:rsidRPr="001E59F1">
        <w:rPr>
          <w:rFonts w:eastAsia="Merriweather"/>
          <w:sz w:val="20"/>
          <w:szCs w:val="20"/>
        </w:rPr>
        <w:t xml:space="preserve"> </w:t>
      </w:r>
      <w:proofErr w:type="spellStart"/>
      <w:r w:rsidR="008B073F" w:rsidRPr="001E59F1">
        <w:rPr>
          <w:rFonts w:eastAsia="Merriweather"/>
          <w:sz w:val="20"/>
          <w:szCs w:val="20"/>
        </w:rPr>
        <w:t>Agribisnis</w:t>
      </w:r>
      <w:proofErr w:type="spellEnd"/>
      <w:r w:rsidR="008B073F" w:rsidRPr="001E59F1">
        <w:rPr>
          <w:rFonts w:eastAsia="Merriweather"/>
          <w:sz w:val="20"/>
          <w:szCs w:val="20"/>
        </w:rPr>
        <w:t>,</w:t>
      </w:r>
      <w:r w:rsidR="008B073F" w:rsidRPr="001E59F1">
        <w:rPr>
          <w:sz w:val="20"/>
          <w:szCs w:val="20"/>
        </w:rPr>
        <w:t xml:space="preserve"> Department of Agribusiness, Faculty of Management and Economy, IPB </w:t>
      </w:r>
      <w:r w:rsidR="009B659D">
        <w:rPr>
          <w:sz w:val="20"/>
          <w:szCs w:val="20"/>
        </w:rPr>
        <w:t xml:space="preserve">    </w:t>
      </w:r>
      <w:r w:rsidR="008B073F" w:rsidRPr="001E59F1">
        <w:rPr>
          <w:sz w:val="20"/>
          <w:szCs w:val="20"/>
        </w:rPr>
        <w:t>University, Bogor, Indonesia</w:t>
      </w:r>
      <w:r w:rsidR="008F735F" w:rsidRPr="001E59F1">
        <w:rPr>
          <w:sz w:val="20"/>
          <w:szCs w:val="20"/>
        </w:rPr>
        <w:t>)</w:t>
      </w:r>
    </w:p>
    <w:p w14:paraId="30B860E0" w14:textId="4831F876" w:rsidR="003E6315" w:rsidRPr="001E59F1" w:rsidRDefault="003E6315" w:rsidP="00EB19DA">
      <w:pPr>
        <w:spacing w:after="0"/>
        <w:ind w:firstLine="425"/>
        <w:jc w:val="both"/>
        <w:rPr>
          <w:sz w:val="20"/>
          <w:szCs w:val="20"/>
        </w:rPr>
      </w:pPr>
      <w:r w:rsidRPr="001E59F1">
        <w:rPr>
          <w:sz w:val="20"/>
          <w:szCs w:val="20"/>
        </w:rPr>
        <w:t>Department of Agribusiness, Faculty of Management and Economy, IPB University, Bogor, Indonesia</w:t>
      </w:r>
    </w:p>
    <w:p w14:paraId="4B7F6802" w14:textId="10473C05" w:rsidR="00E56C0A" w:rsidRPr="001E59F1" w:rsidRDefault="009D5342" w:rsidP="00EB19DA">
      <w:pPr>
        <w:spacing w:after="0"/>
        <w:ind w:firstLine="425"/>
        <w:jc w:val="center"/>
        <w:rPr>
          <w:sz w:val="20"/>
          <w:szCs w:val="20"/>
        </w:rPr>
      </w:pPr>
      <w:r w:rsidRPr="001E59F1">
        <w:rPr>
          <w:b/>
          <w:sz w:val="20"/>
          <w:szCs w:val="20"/>
          <w:vertAlign w:val="superscript"/>
        </w:rPr>
        <w:sym w:font="Symbol" w:char="F0A9"/>
      </w:r>
      <w:r w:rsidR="00E56C0A" w:rsidRPr="001E59F1">
        <w:rPr>
          <w:sz w:val="20"/>
          <w:szCs w:val="20"/>
        </w:rPr>
        <w:t xml:space="preserve">Corresponding author email: </w:t>
      </w:r>
      <w:hyperlink r:id="rId8" w:history="1">
        <w:r w:rsidR="00D97C83" w:rsidRPr="001E59F1">
          <w:rPr>
            <w:rStyle w:val="Hyperlink"/>
            <w:rFonts w:eastAsia="Merriweather"/>
            <w:sz w:val="20"/>
            <w:szCs w:val="20"/>
          </w:rPr>
          <w:t>silvionyfutrinelsa@apps.ipb.ac.id</w:t>
        </w:r>
      </w:hyperlink>
    </w:p>
    <w:p w14:paraId="6A688AEA" w14:textId="7E398DD4" w:rsidR="00DA2D18" w:rsidRPr="001E59F1" w:rsidRDefault="00DA2D18" w:rsidP="00EB19DA">
      <w:pPr>
        <w:spacing w:after="120"/>
        <w:ind w:firstLine="425"/>
        <w:jc w:val="both"/>
        <w:rPr>
          <w:sz w:val="20"/>
          <w:szCs w:val="20"/>
        </w:rPr>
      </w:pPr>
      <w:r w:rsidRPr="001E59F1">
        <w:rPr>
          <w:sz w:val="20"/>
          <w:szCs w:val="20"/>
        </w:rPr>
        <w:t xml:space="preserve">*WA Number: </w:t>
      </w:r>
      <w:r w:rsidR="008B073F" w:rsidRPr="001E59F1">
        <w:rPr>
          <w:sz w:val="20"/>
          <w:szCs w:val="20"/>
        </w:rPr>
        <w:t>08</w:t>
      </w:r>
      <w:r w:rsidR="00D97C83" w:rsidRPr="001E59F1">
        <w:rPr>
          <w:sz w:val="20"/>
          <w:szCs w:val="20"/>
        </w:rPr>
        <w:t>5334167329</w:t>
      </w:r>
    </w:p>
    <w:p w14:paraId="71C60411" w14:textId="5AFD4E5E" w:rsidR="00E56C0A" w:rsidRPr="006C56EA" w:rsidRDefault="00E56C0A" w:rsidP="001803E5">
      <w:pPr>
        <w:tabs>
          <w:tab w:val="left" w:pos="340"/>
        </w:tabs>
        <w:spacing w:after="240"/>
        <w:jc w:val="both"/>
        <w:rPr>
          <w:rFonts w:eastAsia="Merriweather"/>
          <w:iCs/>
          <w:sz w:val="20"/>
          <w:szCs w:val="20"/>
        </w:rPr>
      </w:pPr>
      <w:r w:rsidRPr="006C56EA">
        <w:rPr>
          <w:b/>
          <w:sz w:val="20"/>
          <w:szCs w:val="20"/>
        </w:rPr>
        <w:t>Abstract</w:t>
      </w:r>
      <w:r w:rsidR="006C56EA" w:rsidRPr="006C56EA">
        <w:t xml:space="preserve"> </w:t>
      </w:r>
      <w:r w:rsidR="006C56EA" w:rsidRPr="006C56EA">
        <w:rPr>
          <w:iCs/>
          <w:sz w:val="20"/>
          <w:szCs w:val="20"/>
        </w:rPr>
        <w:t>This study aims to analyze the market position and competitiveness of Indonesian areca nut exports in the global market using the Almost Ideal Demand System (AIDS) model. Indonesia has remained the dominant exporter of areca nut globally, holding over 50% of the market share from 2012 to 2024. However, recent fluctuations in export value and competition from other major exporters such as Myanmar, Thailand, and India highlight the need for a deeper understanding of market dynamics. The analysis employs secondary data under HS Code 080280, covering the 2012–2024 period, and uses the Seemingly Unrelated Regression (SUR) approach to estimate own-price, cross-price, and expenditure elasticities. Results indicate that Indonesia’s areca nut exports are price inelastic, suggesting limited responsiveness to price changes. Cross-price elasticity values reveal complementary relationships with India and Myanmar, and a substitutive relationship with Thailand. Expenditure elasticity further classifies Indonesian areca nut as a normal good, in contrast to Thailand and Myanmar’s luxury classification, and India’s categorization as an inferior good. These findings provide critical insights for developing strategies to enhance the competitiveness and export performance of Indonesian areca nut in international markets.</w:t>
      </w:r>
    </w:p>
    <w:p w14:paraId="3F7DA06B" w14:textId="0766DC51" w:rsidR="009800B1" w:rsidRDefault="00E56C0A" w:rsidP="001803E5">
      <w:pPr>
        <w:spacing w:after="0"/>
        <w:jc w:val="both"/>
        <w:rPr>
          <w:rFonts w:eastAsia="Merriweather"/>
          <w:sz w:val="20"/>
          <w:szCs w:val="20"/>
        </w:rPr>
      </w:pPr>
      <w:r w:rsidRPr="006C56EA">
        <w:rPr>
          <w:b/>
          <w:iCs/>
          <w:sz w:val="20"/>
          <w:szCs w:val="20"/>
        </w:rPr>
        <w:t>Keywords:</w:t>
      </w:r>
      <w:r w:rsidRPr="006C56EA">
        <w:rPr>
          <w:b/>
          <w:i/>
          <w:sz w:val="20"/>
          <w:szCs w:val="20"/>
        </w:rPr>
        <w:t xml:space="preserve"> </w:t>
      </w:r>
      <w:r w:rsidR="006C56EA" w:rsidRPr="006C56EA">
        <w:rPr>
          <w:rFonts w:eastAsia="Merriweather"/>
          <w:sz w:val="20"/>
          <w:szCs w:val="20"/>
        </w:rPr>
        <w:t>areca nut, competitiveness, AIDS model, elasticity, international trade</w:t>
      </w:r>
    </w:p>
    <w:p w14:paraId="5DC3CBDF" w14:textId="77777777" w:rsidR="006C56EA" w:rsidRPr="001E59F1" w:rsidRDefault="006C56EA" w:rsidP="00EB19DA">
      <w:pPr>
        <w:spacing w:after="0"/>
        <w:ind w:firstLine="425"/>
        <w:jc w:val="both"/>
        <w:rPr>
          <w:sz w:val="24"/>
          <w:szCs w:val="24"/>
        </w:rPr>
      </w:pPr>
    </w:p>
    <w:p w14:paraId="517FF67F" w14:textId="77777777" w:rsidR="009E50AD" w:rsidRPr="001E59F1" w:rsidRDefault="009E50AD" w:rsidP="00EB19DA">
      <w:pPr>
        <w:spacing w:before="240" w:after="0"/>
        <w:ind w:firstLine="425"/>
        <w:rPr>
          <w:b/>
          <w:sz w:val="24"/>
          <w:szCs w:val="24"/>
        </w:rPr>
        <w:sectPr w:rsidR="009E50AD" w:rsidRPr="001E59F1" w:rsidSect="00625117">
          <w:type w:val="continuous"/>
          <w:pgSz w:w="11906" w:h="16838"/>
          <w:pgMar w:top="1701" w:right="1418" w:bottom="1418" w:left="1418" w:header="720" w:footer="720" w:gutter="0"/>
          <w:cols w:space="720"/>
          <w:docGrid w:linePitch="600" w:charSpace="36864"/>
        </w:sectPr>
      </w:pPr>
    </w:p>
    <w:p w14:paraId="352046DF" w14:textId="45C5117F" w:rsidR="00E56C0A" w:rsidRDefault="00E56C0A" w:rsidP="001803E5">
      <w:pPr>
        <w:spacing w:after="0"/>
        <w:rPr>
          <w:b/>
          <w:sz w:val="24"/>
          <w:szCs w:val="24"/>
        </w:rPr>
      </w:pPr>
      <w:r w:rsidRPr="001E59F1">
        <w:rPr>
          <w:b/>
          <w:sz w:val="24"/>
          <w:szCs w:val="24"/>
        </w:rPr>
        <w:t>INTRODUCTION</w:t>
      </w:r>
    </w:p>
    <w:p w14:paraId="343D113A" w14:textId="771CEE2D" w:rsidR="001E59F1" w:rsidRPr="00404D8A" w:rsidRDefault="00404D8A" w:rsidP="00EB19DA">
      <w:pPr>
        <w:spacing w:after="0"/>
        <w:ind w:firstLine="425"/>
        <w:jc w:val="both"/>
        <w:rPr>
          <w:bCs/>
          <w:sz w:val="24"/>
          <w:szCs w:val="24"/>
        </w:rPr>
      </w:pPr>
      <w:r>
        <w:rPr>
          <w:b/>
          <w:sz w:val="24"/>
          <w:szCs w:val="24"/>
        </w:rPr>
        <w:tab/>
      </w:r>
      <w:r w:rsidRPr="00404D8A">
        <w:rPr>
          <w:bCs/>
          <w:sz w:val="24"/>
          <w:szCs w:val="24"/>
        </w:rPr>
        <w:t xml:space="preserve">In 2023, the Directorate General of Plantations of the Ministry of Agriculture of the Republic of Indonesia released the National Non-Primary Commodity Statistics Book, which contains the latest data and information on plantation commodities not yet categorized as nationally superior. One of the commodities listed in the book is the areca nut (Areca catechu). The areca nut is a multifunctional plant that has long been known and utilized in Indonesian culture. This plant has benefits for both the consumption and industrial sectors. Traditionally, in Indonesia, areca nut is used as the main ingredient in the </w:t>
      </w:r>
      <w:r w:rsidR="00587A7C">
        <w:rPr>
          <w:sz w:val="24"/>
          <w:szCs w:val="24"/>
        </w:rPr>
        <w:t xml:space="preserve">areca </w:t>
      </w:r>
      <w:r w:rsidRPr="00404D8A">
        <w:rPr>
          <w:bCs/>
          <w:sz w:val="24"/>
          <w:szCs w:val="24"/>
        </w:rPr>
        <w:t xml:space="preserve">quid chewing tradition. This </w:t>
      </w:r>
      <w:r w:rsidR="00587A7C">
        <w:rPr>
          <w:sz w:val="24"/>
          <w:szCs w:val="24"/>
        </w:rPr>
        <w:t>areca</w:t>
      </w:r>
      <w:r w:rsidRPr="00404D8A">
        <w:rPr>
          <w:bCs/>
          <w:sz w:val="24"/>
          <w:szCs w:val="24"/>
        </w:rPr>
        <w:t xml:space="preserve"> quid chewing tradition involves the use of areca nut along with </w:t>
      </w:r>
      <w:r w:rsidR="00587A7C">
        <w:rPr>
          <w:sz w:val="24"/>
          <w:szCs w:val="24"/>
        </w:rPr>
        <w:t>areca</w:t>
      </w:r>
      <w:r w:rsidRPr="00404D8A">
        <w:rPr>
          <w:bCs/>
          <w:sz w:val="24"/>
          <w:szCs w:val="24"/>
        </w:rPr>
        <w:t xml:space="preserve"> leaves and is often considered a symbol of good manners in various social gatherings (</w:t>
      </w:r>
      <w:r w:rsidR="00414453" w:rsidRPr="00414453">
        <w:rPr>
          <w:bCs/>
          <w:color w:val="2F5496" w:themeColor="accent5" w:themeShade="BF"/>
          <w:sz w:val="24"/>
          <w:szCs w:val="24"/>
        </w:rPr>
        <w:t>Rahmad and Umar 2024</w:t>
      </w:r>
      <w:r w:rsidRPr="00404D8A">
        <w:rPr>
          <w:bCs/>
          <w:sz w:val="24"/>
          <w:szCs w:val="24"/>
        </w:rPr>
        <w:t>). Boiled areca nut water is used in traditional medicine, such as cleaning and healing infected wounds (</w:t>
      </w:r>
      <w:proofErr w:type="spellStart"/>
      <w:r w:rsidRPr="00414453">
        <w:rPr>
          <w:bCs/>
          <w:color w:val="2F5496" w:themeColor="accent5" w:themeShade="BF"/>
          <w:sz w:val="24"/>
          <w:szCs w:val="24"/>
        </w:rPr>
        <w:t>Oktafirnanda</w:t>
      </w:r>
      <w:proofErr w:type="spellEnd"/>
      <w:r w:rsidRPr="00414453">
        <w:rPr>
          <w:bCs/>
          <w:color w:val="2F5496" w:themeColor="accent5" w:themeShade="BF"/>
          <w:sz w:val="24"/>
          <w:szCs w:val="24"/>
        </w:rPr>
        <w:t xml:space="preserve"> et al. 2022</w:t>
      </w:r>
      <w:r w:rsidRPr="00404D8A">
        <w:rPr>
          <w:bCs/>
          <w:sz w:val="24"/>
          <w:szCs w:val="24"/>
        </w:rPr>
        <w:t>).</w:t>
      </w:r>
    </w:p>
    <w:p w14:paraId="1F790A11" w14:textId="6A9C75D8" w:rsidR="00BB55C9" w:rsidRPr="00BB55C9" w:rsidRDefault="00BB55C9" w:rsidP="00EB19DA">
      <w:pPr>
        <w:spacing w:after="0"/>
        <w:ind w:firstLine="425"/>
        <w:jc w:val="both"/>
        <w:rPr>
          <w:sz w:val="24"/>
          <w:szCs w:val="24"/>
        </w:rPr>
      </w:pPr>
      <w:r w:rsidRPr="00BB55C9">
        <w:rPr>
          <w:sz w:val="24"/>
          <w:szCs w:val="24"/>
        </w:rPr>
        <w:t>Indonesia’s exports are supported by two main sectors: the oil and gas sector and the non-oil and gas sector</w:t>
      </w:r>
      <w:r>
        <w:rPr>
          <w:sz w:val="24"/>
          <w:szCs w:val="24"/>
        </w:rPr>
        <w:t xml:space="preserve"> </w:t>
      </w:r>
      <w:r w:rsidRPr="00BB55C9">
        <w:rPr>
          <w:sz w:val="24"/>
          <w:szCs w:val="24"/>
        </w:rPr>
        <w:t>which positively impact Gross Domestic Product (GDP). This non-oil and gas sector encompasses various products such as agriculture, plantations, fisheries, textiles, electronics, and other manufacturing. Indonesia is an agrarian country with significant potential in the agricultural sector. In 2022, the agriculture, forestry, and fisheries sector contributed approximately 12.40% to the national Gross Domestic Product (GDP) (</w:t>
      </w:r>
      <w:r w:rsidRPr="00BB55C9">
        <w:rPr>
          <w:color w:val="283388"/>
          <w:sz w:val="24"/>
          <w:szCs w:val="24"/>
        </w:rPr>
        <w:t xml:space="preserve">Badan Pusat </w:t>
      </w:r>
      <w:proofErr w:type="spellStart"/>
      <w:r w:rsidRPr="00BB55C9">
        <w:rPr>
          <w:color w:val="283388"/>
          <w:sz w:val="24"/>
          <w:szCs w:val="24"/>
        </w:rPr>
        <w:t>Statistik</w:t>
      </w:r>
      <w:proofErr w:type="spellEnd"/>
      <w:r w:rsidRPr="00BB55C9">
        <w:rPr>
          <w:color w:val="283388"/>
          <w:sz w:val="24"/>
          <w:szCs w:val="24"/>
        </w:rPr>
        <w:t xml:space="preserve"> 2023</w:t>
      </w:r>
      <w:r w:rsidRPr="00BB55C9">
        <w:rPr>
          <w:sz w:val="24"/>
          <w:szCs w:val="24"/>
        </w:rPr>
        <w:t>).</w:t>
      </w:r>
    </w:p>
    <w:p w14:paraId="0183E8C6" w14:textId="7D505B2D" w:rsidR="00BB55C9" w:rsidRPr="00BB55C9" w:rsidRDefault="00BB55C9" w:rsidP="00EB19DA">
      <w:pPr>
        <w:spacing w:after="0"/>
        <w:ind w:firstLine="425"/>
        <w:jc w:val="both"/>
        <w:rPr>
          <w:sz w:val="24"/>
          <w:szCs w:val="24"/>
        </w:rPr>
      </w:pPr>
      <w:r w:rsidRPr="00BB55C9">
        <w:rPr>
          <w:sz w:val="24"/>
          <w:szCs w:val="24"/>
        </w:rPr>
        <w:t>Agricultural exports not only positively impact GDP but also contribute to farmers by creating jobs. The plantation subsector contributes the largest share of GDP to other agricultural sectors. According to the Central Statistics Agency 2023, the plantation subsector's contribution to GDP reached 3.76% in 2022, with an increasing trend each year. This figure demonstrates the significant role the plantation subsector plays in supporting the national economy through plantation commodity exports. While plantation commodity exports are dominated by primary plantation commodities such as palm oil, rubber, coffee, cocoa, and others, exports of non-</w:t>
      </w:r>
      <w:r w:rsidRPr="00BB55C9">
        <w:rPr>
          <w:sz w:val="24"/>
          <w:szCs w:val="24"/>
        </w:rPr>
        <w:lastRenderedPageBreak/>
        <w:t xml:space="preserve">primary commodities also contribute to GDP. </w:t>
      </w:r>
      <w:r w:rsidR="00587A7C">
        <w:rPr>
          <w:sz w:val="24"/>
          <w:szCs w:val="24"/>
        </w:rPr>
        <w:t>A</w:t>
      </w:r>
      <w:r w:rsidR="00587A7C">
        <w:rPr>
          <w:sz w:val="24"/>
          <w:szCs w:val="24"/>
        </w:rPr>
        <w:t>reca</w:t>
      </w:r>
      <w:r w:rsidRPr="00BB55C9">
        <w:rPr>
          <w:sz w:val="24"/>
          <w:szCs w:val="24"/>
        </w:rPr>
        <w:t xml:space="preserve"> nut is one of the national non-primary commodities that also contributes to GDP.</w:t>
      </w:r>
    </w:p>
    <w:p w14:paraId="570B2B78" w14:textId="534FB634" w:rsidR="00BB55C9" w:rsidRDefault="00BB55C9" w:rsidP="00EB19DA">
      <w:pPr>
        <w:spacing w:after="0"/>
        <w:ind w:firstLine="425"/>
        <w:jc w:val="both"/>
        <w:rPr>
          <w:sz w:val="24"/>
          <w:szCs w:val="24"/>
        </w:rPr>
      </w:pPr>
      <w:r w:rsidRPr="00BB55C9">
        <w:rPr>
          <w:sz w:val="24"/>
          <w:szCs w:val="24"/>
        </w:rPr>
        <w:t xml:space="preserve">The Indonesian </w:t>
      </w:r>
      <w:r w:rsidR="00587A7C">
        <w:rPr>
          <w:sz w:val="24"/>
          <w:szCs w:val="24"/>
        </w:rPr>
        <w:t>areca</w:t>
      </w:r>
      <w:r w:rsidRPr="00BB55C9">
        <w:rPr>
          <w:sz w:val="24"/>
          <w:szCs w:val="24"/>
        </w:rPr>
        <w:t xml:space="preserve"> nut market in the international market currently faces various challenges in maintaining competitiveness and expanding market share. This is due to several factors, including price fluctuations, dynamic global demand, and competition from other exporting countries such as Myanmar, India, and Thailand. </w:t>
      </w:r>
      <w:r w:rsidR="00587A7C">
        <w:rPr>
          <w:sz w:val="24"/>
          <w:szCs w:val="24"/>
        </w:rPr>
        <w:t>A</w:t>
      </w:r>
      <w:r w:rsidR="00587A7C">
        <w:rPr>
          <w:sz w:val="24"/>
          <w:szCs w:val="24"/>
        </w:rPr>
        <w:t>reca</w:t>
      </w:r>
      <w:r w:rsidRPr="00BB55C9">
        <w:rPr>
          <w:sz w:val="24"/>
          <w:szCs w:val="24"/>
        </w:rPr>
        <w:t xml:space="preserve"> nut production in Indonesia experiences significant and unpredictable fluctuations from year to year. This condition raises concerns about Indonesia's ability to meet demand and ensure the availability of </w:t>
      </w:r>
      <w:r w:rsidR="00587A7C">
        <w:rPr>
          <w:sz w:val="24"/>
          <w:szCs w:val="24"/>
        </w:rPr>
        <w:t>areca</w:t>
      </w:r>
      <w:r w:rsidRPr="00BB55C9">
        <w:rPr>
          <w:sz w:val="24"/>
          <w:szCs w:val="24"/>
        </w:rPr>
        <w:t xml:space="preserve"> nut stocks in the international market. In the international market, competition with major exporting countries such as Myanmar, Thailand, and India </w:t>
      </w:r>
      <w:proofErr w:type="gramStart"/>
      <w:r w:rsidRPr="00BB55C9">
        <w:rPr>
          <w:sz w:val="24"/>
          <w:szCs w:val="24"/>
        </w:rPr>
        <w:t>is</w:t>
      </w:r>
      <w:proofErr w:type="gramEnd"/>
      <w:r w:rsidRPr="00BB55C9">
        <w:rPr>
          <w:sz w:val="24"/>
          <w:szCs w:val="24"/>
        </w:rPr>
        <w:t xml:space="preserve"> increasingly intense. This is exacerbated by a market structure that tends to be dominated by certain countries, which can impact the competitiveness of Indonesian </w:t>
      </w:r>
      <w:r w:rsidR="00587A7C">
        <w:rPr>
          <w:sz w:val="24"/>
          <w:szCs w:val="24"/>
        </w:rPr>
        <w:t xml:space="preserve">areca </w:t>
      </w:r>
      <w:r w:rsidRPr="00BB55C9">
        <w:rPr>
          <w:sz w:val="24"/>
          <w:szCs w:val="24"/>
        </w:rPr>
        <w:t>nut.</w:t>
      </w:r>
    </w:p>
    <w:p w14:paraId="1A36681B" w14:textId="468E2AC2" w:rsidR="009800B1" w:rsidRPr="001E59F1" w:rsidRDefault="009819D1" w:rsidP="00EB19DA">
      <w:pPr>
        <w:spacing w:after="0"/>
        <w:ind w:firstLine="425"/>
        <w:jc w:val="both"/>
        <w:rPr>
          <w:sz w:val="24"/>
          <w:szCs w:val="24"/>
        </w:rPr>
      </w:pPr>
      <w:r w:rsidRPr="001E59F1">
        <w:rPr>
          <w:sz w:val="24"/>
          <w:szCs w:val="24"/>
        </w:rPr>
        <w:t>According to Trade Map data (2024), Indonesia was the world’s largest exporter of areca nut from 2012 to 202</w:t>
      </w:r>
      <w:r w:rsidR="00FC7CD5">
        <w:rPr>
          <w:sz w:val="24"/>
          <w:szCs w:val="24"/>
        </w:rPr>
        <w:t>4</w:t>
      </w:r>
      <w:r w:rsidRPr="001E59F1">
        <w:rPr>
          <w:sz w:val="24"/>
          <w:szCs w:val="24"/>
        </w:rPr>
        <w:t xml:space="preserve">, accounting for approximately </w:t>
      </w:r>
      <w:r w:rsidR="00EE0337" w:rsidRPr="001E59F1">
        <w:rPr>
          <w:sz w:val="24"/>
          <w:szCs w:val="24"/>
        </w:rPr>
        <w:t>52</w:t>
      </w:r>
      <w:r w:rsidRPr="001E59F1">
        <w:rPr>
          <w:sz w:val="24"/>
          <w:szCs w:val="24"/>
        </w:rPr>
        <w:t xml:space="preserve"> percent of the global market share. Myanmar ranked second with 14 percent, followed by Thailand in third place with 1</w:t>
      </w:r>
      <w:r w:rsidR="00EE0337" w:rsidRPr="001E59F1">
        <w:rPr>
          <w:sz w:val="24"/>
          <w:szCs w:val="24"/>
        </w:rPr>
        <w:t>2</w:t>
      </w:r>
      <w:r w:rsidRPr="001E59F1">
        <w:rPr>
          <w:sz w:val="24"/>
          <w:szCs w:val="24"/>
        </w:rPr>
        <w:t xml:space="preserve"> percent. Sri Lanka held the fourth position with 8 percent, while India and Singapore each contributed 4 percent. The remaining </w:t>
      </w:r>
      <w:r w:rsidR="00EE0337" w:rsidRPr="001E59F1">
        <w:rPr>
          <w:sz w:val="24"/>
          <w:szCs w:val="24"/>
        </w:rPr>
        <w:t>6</w:t>
      </w:r>
      <w:r w:rsidRPr="001E59F1">
        <w:rPr>
          <w:sz w:val="24"/>
          <w:szCs w:val="24"/>
        </w:rPr>
        <w:t xml:space="preserve"> percent came from other countries (Rest of the World/ROW). These figures clearly demonstrate Indonesia’s dominance in the global areca nut export market, as more than half of the world’s areca nut exports originate from Indonesia. This competitive advantage positions Indonesia strategically in the international areca nut trade.</w:t>
      </w:r>
    </w:p>
    <w:p w14:paraId="76322EA1" w14:textId="0E02F522" w:rsidR="009819D1" w:rsidRPr="001E59F1" w:rsidRDefault="006A5E0E" w:rsidP="00EB19DA">
      <w:pPr>
        <w:spacing w:after="0"/>
        <w:ind w:firstLine="425"/>
        <w:jc w:val="center"/>
        <w:rPr>
          <w:sz w:val="24"/>
          <w:szCs w:val="24"/>
        </w:rPr>
      </w:pPr>
      <w:r w:rsidRPr="001E59F1">
        <w:rPr>
          <w:noProof/>
          <w:sz w:val="24"/>
          <w:szCs w:val="24"/>
        </w:rPr>
        <w:drawing>
          <wp:inline distT="0" distB="0" distL="0" distR="0" wp14:anchorId="2282C02B" wp14:editId="76E62244">
            <wp:extent cx="4356100" cy="2108200"/>
            <wp:effectExtent l="0" t="0" r="6350" b="6350"/>
            <wp:docPr id="1" name="Chart 1">
              <a:extLst xmlns:a="http://schemas.openxmlformats.org/drawingml/2006/main">
                <a:ext uri="{FF2B5EF4-FFF2-40B4-BE49-F238E27FC236}">
                  <a16:creationId xmlns:a16="http://schemas.microsoft.com/office/drawing/2014/main" id="{6D1E8E12-CA4B-4630-9456-648EFBC9B0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3434009" w14:textId="058B4CA7" w:rsidR="009819D1" w:rsidRPr="00C14ED7" w:rsidRDefault="009819D1" w:rsidP="00EB19DA">
      <w:pPr>
        <w:spacing w:after="0"/>
        <w:ind w:firstLine="425"/>
        <w:jc w:val="center"/>
        <w:rPr>
          <w:b/>
          <w:bCs/>
          <w:i/>
          <w:iCs/>
          <w:sz w:val="20"/>
          <w:szCs w:val="20"/>
        </w:rPr>
      </w:pPr>
      <w:r w:rsidRPr="00C14ED7">
        <w:rPr>
          <w:b/>
          <w:bCs/>
          <w:sz w:val="20"/>
          <w:szCs w:val="20"/>
        </w:rPr>
        <w:t>Figure 1. Percentage of Areca Nut Exporting Countries, 2012–202</w:t>
      </w:r>
      <w:r w:rsidR="006A5E0E" w:rsidRPr="00C14ED7">
        <w:rPr>
          <w:b/>
          <w:bCs/>
          <w:sz w:val="20"/>
          <w:szCs w:val="20"/>
        </w:rPr>
        <w:t>4</w:t>
      </w:r>
      <w:r w:rsidRPr="00C14ED7">
        <w:rPr>
          <w:b/>
          <w:bCs/>
          <w:sz w:val="20"/>
          <w:szCs w:val="20"/>
        </w:rPr>
        <w:br/>
      </w:r>
      <w:r w:rsidRPr="00C14ED7">
        <w:rPr>
          <w:b/>
          <w:bCs/>
          <w:i/>
          <w:iCs/>
          <w:sz w:val="20"/>
          <w:szCs w:val="20"/>
        </w:rPr>
        <w:t>(Source: International Trade Centre, 202</w:t>
      </w:r>
      <w:r w:rsidR="006A5E0E" w:rsidRPr="00C14ED7">
        <w:rPr>
          <w:b/>
          <w:bCs/>
          <w:i/>
          <w:iCs/>
          <w:sz w:val="20"/>
          <w:szCs w:val="20"/>
        </w:rPr>
        <w:t>5</w:t>
      </w:r>
      <w:r w:rsidRPr="00C14ED7">
        <w:rPr>
          <w:b/>
          <w:bCs/>
          <w:i/>
          <w:iCs/>
          <w:sz w:val="20"/>
          <w:szCs w:val="20"/>
        </w:rPr>
        <w:t>)</w:t>
      </w:r>
    </w:p>
    <w:p w14:paraId="4C084F8D" w14:textId="77777777" w:rsidR="00547B7F" w:rsidRPr="001E59F1" w:rsidRDefault="00547B7F" w:rsidP="00EB19DA">
      <w:pPr>
        <w:spacing w:after="0"/>
        <w:ind w:firstLine="425"/>
        <w:jc w:val="center"/>
        <w:rPr>
          <w:i/>
          <w:iCs/>
          <w:sz w:val="24"/>
          <w:szCs w:val="24"/>
        </w:rPr>
      </w:pPr>
    </w:p>
    <w:p w14:paraId="3DD451C5" w14:textId="2E17C480" w:rsidR="009819D1" w:rsidRDefault="009819D1" w:rsidP="00EB19DA">
      <w:pPr>
        <w:spacing w:after="0"/>
        <w:ind w:firstLine="425"/>
        <w:jc w:val="both"/>
        <w:rPr>
          <w:sz w:val="24"/>
          <w:szCs w:val="24"/>
        </w:rPr>
      </w:pPr>
      <w:r w:rsidRPr="001E59F1">
        <w:rPr>
          <w:sz w:val="24"/>
          <w:szCs w:val="24"/>
        </w:rPr>
        <w:t>Based on export data from 2012 to 202</w:t>
      </w:r>
      <w:r w:rsidR="00A863E8" w:rsidRPr="001E59F1">
        <w:rPr>
          <w:sz w:val="24"/>
          <w:szCs w:val="24"/>
        </w:rPr>
        <w:t>4</w:t>
      </w:r>
      <w:r w:rsidRPr="001E59F1">
        <w:rPr>
          <w:sz w:val="24"/>
          <w:szCs w:val="24"/>
        </w:rPr>
        <w:t>, there has been a declining trend in the export value (in thousand USD) of Indonesian areca nut, despite reaching its peak in certain years (International Trade Centre, 202</w:t>
      </w:r>
      <w:r w:rsidR="00A863E8" w:rsidRPr="001E59F1">
        <w:rPr>
          <w:sz w:val="24"/>
          <w:szCs w:val="24"/>
        </w:rPr>
        <w:t>5</w:t>
      </w:r>
      <w:r w:rsidRPr="001E59F1">
        <w:rPr>
          <w:sz w:val="24"/>
          <w:szCs w:val="24"/>
        </w:rPr>
        <w:t>). This indicates significant challenges in maintaining Indonesia’s competitiveness in the global areca nut market. Although there has been an increase in cultivation area and domestic production—evidenced by the expansion from 152,931 hectares in 2020 to 163,367 hectares in 2023—export performance has fluctuated and, in some years, even declined.</w:t>
      </w:r>
    </w:p>
    <w:p w14:paraId="60DA3AD7" w14:textId="759FBD60" w:rsidR="00FC7CD5" w:rsidRPr="001E59F1" w:rsidRDefault="00FC7CD5" w:rsidP="00EB19DA">
      <w:pPr>
        <w:spacing w:after="0"/>
        <w:ind w:firstLine="425"/>
        <w:jc w:val="both"/>
        <w:rPr>
          <w:sz w:val="24"/>
          <w:szCs w:val="24"/>
        </w:rPr>
      </w:pPr>
      <w:r w:rsidRPr="00FC7CD5">
        <w:rPr>
          <w:sz w:val="24"/>
          <w:szCs w:val="24"/>
        </w:rPr>
        <w:t xml:space="preserve">The economic value of </w:t>
      </w:r>
      <w:r w:rsidR="00587A7C">
        <w:rPr>
          <w:sz w:val="24"/>
          <w:szCs w:val="24"/>
        </w:rPr>
        <w:t>areca</w:t>
      </w:r>
      <w:r w:rsidRPr="00FC7CD5">
        <w:rPr>
          <w:sz w:val="24"/>
          <w:szCs w:val="24"/>
        </w:rPr>
        <w:t xml:space="preserve"> nut has attracted attention due to its multifunctional nature, both as a consumer good and as an industrial raw material. </w:t>
      </w:r>
      <w:r w:rsidR="00587A7C">
        <w:rPr>
          <w:sz w:val="24"/>
          <w:szCs w:val="24"/>
        </w:rPr>
        <w:t>A</w:t>
      </w:r>
      <w:r w:rsidR="00587A7C">
        <w:rPr>
          <w:sz w:val="24"/>
          <w:szCs w:val="24"/>
        </w:rPr>
        <w:t>reca</w:t>
      </w:r>
      <w:r w:rsidRPr="00FC7CD5">
        <w:rPr>
          <w:sz w:val="24"/>
          <w:szCs w:val="24"/>
        </w:rPr>
        <w:t xml:space="preserve"> nut is used as a basic ingredient in food and beverage products, a natural dye for cotton fabric, and as an important ingredient in the cosmetics and health industries. </w:t>
      </w:r>
      <w:r w:rsidR="00587A7C">
        <w:rPr>
          <w:sz w:val="24"/>
          <w:szCs w:val="24"/>
        </w:rPr>
        <w:t>A</w:t>
      </w:r>
      <w:r w:rsidR="00587A7C">
        <w:rPr>
          <w:sz w:val="24"/>
          <w:szCs w:val="24"/>
        </w:rPr>
        <w:t>reca</w:t>
      </w:r>
      <w:r w:rsidR="00587A7C">
        <w:rPr>
          <w:sz w:val="24"/>
          <w:szCs w:val="24"/>
        </w:rPr>
        <w:t xml:space="preserve"> </w:t>
      </w:r>
      <w:r w:rsidRPr="00FC7CD5">
        <w:rPr>
          <w:sz w:val="24"/>
          <w:szCs w:val="24"/>
        </w:rPr>
        <w:t xml:space="preserve">nut has economic value in international trade, and Indonesian </w:t>
      </w:r>
      <w:r w:rsidR="00587A7C">
        <w:rPr>
          <w:sz w:val="24"/>
          <w:szCs w:val="24"/>
        </w:rPr>
        <w:t>areca</w:t>
      </w:r>
      <w:r w:rsidRPr="00FC7CD5">
        <w:rPr>
          <w:sz w:val="24"/>
          <w:szCs w:val="24"/>
        </w:rPr>
        <w:t xml:space="preserve"> nut is widely exported to the international market. Importing countries currently rely on Indonesian </w:t>
      </w:r>
      <w:r w:rsidR="00587A7C">
        <w:rPr>
          <w:sz w:val="24"/>
          <w:szCs w:val="24"/>
        </w:rPr>
        <w:t>areca</w:t>
      </w:r>
      <w:r w:rsidRPr="00FC7CD5">
        <w:rPr>
          <w:sz w:val="24"/>
          <w:szCs w:val="24"/>
        </w:rPr>
        <w:t xml:space="preserve"> nut to meet their domestic needs, creating vast market opportunities for Indonesia in the international market. With its vast potential in various </w:t>
      </w:r>
      <w:r w:rsidRPr="00FC7CD5">
        <w:rPr>
          <w:sz w:val="24"/>
          <w:szCs w:val="24"/>
        </w:rPr>
        <w:lastRenderedPageBreak/>
        <w:t xml:space="preserve">sectors, </w:t>
      </w:r>
      <w:r w:rsidR="00587A7C">
        <w:rPr>
          <w:sz w:val="24"/>
          <w:szCs w:val="24"/>
        </w:rPr>
        <w:t>areca</w:t>
      </w:r>
      <w:r w:rsidRPr="00FC7CD5">
        <w:rPr>
          <w:sz w:val="24"/>
          <w:szCs w:val="24"/>
        </w:rPr>
        <w:t xml:space="preserve"> nut not only plays an important role in local cultural traditions and economies but also has bright prospects as a leading export commodity that supports industrial growth in Indonesia.</w:t>
      </w:r>
    </w:p>
    <w:p w14:paraId="255434DD" w14:textId="75E0A67E" w:rsidR="00A873D0" w:rsidRDefault="00A873D0" w:rsidP="00EB19DA">
      <w:pPr>
        <w:spacing w:after="0"/>
        <w:ind w:firstLine="425"/>
        <w:jc w:val="both"/>
        <w:rPr>
          <w:sz w:val="24"/>
          <w:szCs w:val="24"/>
        </w:rPr>
      </w:pPr>
      <w:r w:rsidRPr="001E59F1">
        <w:rPr>
          <w:sz w:val="24"/>
          <w:szCs w:val="24"/>
        </w:rPr>
        <w:t>Indonesia’s areca nut market in the international arena is currently facing various challenges in maintaining competitiveness and expanding market share. These challenges arise from several factors, including price fluctuations, dynamic global demand, and increasing competition from other major exporters such as Myanmar, India, and Thailand. Areca nut production in Indonesia has shown significant and unpredictable fluctuations from year to year, raising concerns about the country’s ability to meet international demand and ensure consistent supply. Moreover, competition in the global market has become increasingly intense, particularly with dominant exporters like Myanmar, Thailand, and India. This situation is further exacerbated by a market structure that is often dominated by certain countries, which may adversely affect Indonesia’s competitive position.</w:t>
      </w:r>
    </w:p>
    <w:p w14:paraId="46601A8C" w14:textId="77777777" w:rsidR="00547B7F" w:rsidRPr="001E59F1" w:rsidRDefault="00547B7F" w:rsidP="00EB19DA">
      <w:pPr>
        <w:spacing w:after="0"/>
        <w:ind w:firstLine="425"/>
        <w:jc w:val="both"/>
        <w:rPr>
          <w:sz w:val="24"/>
          <w:szCs w:val="24"/>
        </w:rPr>
      </w:pPr>
    </w:p>
    <w:p w14:paraId="03E9DB00" w14:textId="0E376ABD" w:rsidR="00A873D0" w:rsidRPr="001E59F1" w:rsidRDefault="00A873D0" w:rsidP="00EB19DA">
      <w:pPr>
        <w:spacing w:after="0"/>
        <w:ind w:firstLine="425"/>
        <w:jc w:val="both"/>
        <w:rPr>
          <w:sz w:val="24"/>
          <w:szCs w:val="24"/>
        </w:rPr>
      </w:pPr>
      <w:r w:rsidRPr="001E59F1">
        <w:rPr>
          <w:noProof/>
          <w:color w:val="000000" w:themeColor="text1"/>
          <w:sz w:val="24"/>
          <w:szCs w:val="24"/>
        </w:rPr>
        <w:drawing>
          <wp:inline distT="0" distB="0" distL="0" distR="0" wp14:anchorId="5FCACFC4" wp14:editId="2D6CF4A9">
            <wp:extent cx="4673600" cy="2228850"/>
            <wp:effectExtent l="0" t="0" r="12700" b="0"/>
            <wp:docPr id="9" name="Chart 9">
              <a:extLst xmlns:a="http://schemas.openxmlformats.org/drawingml/2006/main">
                <a:ext uri="{FF2B5EF4-FFF2-40B4-BE49-F238E27FC236}">
                  <a16:creationId xmlns:a16="http://schemas.microsoft.com/office/drawing/2014/main" id="{ADF23E64-5ABA-4144-A719-656ABAC239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37D34AE" w14:textId="659EA7B9" w:rsidR="00A873D0" w:rsidRPr="00C14ED7" w:rsidRDefault="00A873D0" w:rsidP="00EB19DA">
      <w:pPr>
        <w:spacing w:after="0"/>
        <w:ind w:firstLine="425"/>
        <w:jc w:val="center"/>
        <w:rPr>
          <w:b/>
          <w:bCs/>
          <w:i/>
          <w:iCs/>
          <w:color w:val="000000" w:themeColor="text1"/>
          <w:sz w:val="20"/>
          <w:szCs w:val="20"/>
        </w:rPr>
      </w:pPr>
      <w:r w:rsidRPr="00C14ED7">
        <w:rPr>
          <w:b/>
          <w:bCs/>
          <w:color w:val="000000" w:themeColor="text1"/>
          <w:sz w:val="20"/>
          <w:szCs w:val="20"/>
        </w:rPr>
        <w:t xml:space="preserve">Figure </w:t>
      </w:r>
      <w:r w:rsidR="00547B7F" w:rsidRPr="00C14ED7">
        <w:rPr>
          <w:b/>
          <w:bCs/>
          <w:color w:val="000000" w:themeColor="text1"/>
          <w:sz w:val="20"/>
          <w:szCs w:val="20"/>
        </w:rPr>
        <w:t xml:space="preserve">2. </w:t>
      </w:r>
      <w:r w:rsidRPr="00C14ED7">
        <w:rPr>
          <w:b/>
          <w:bCs/>
          <w:color w:val="000000" w:themeColor="text1"/>
          <w:sz w:val="20"/>
          <w:szCs w:val="20"/>
        </w:rPr>
        <w:t>Global Areca Nut Export Value</w:t>
      </w:r>
      <w:r w:rsidRPr="00C14ED7">
        <w:rPr>
          <w:b/>
          <w:bCs/>
          <w:color w:val="000000" w:themeColor="text1"/>
          <w:sz w:val="20"/>
          <w:szCs w:val="20"/>
        </w:rPr>
        <w:br/>
      </w:r>
      <w:r w:rsidRPr="00C14ED7">
        <w:rPr>
          <w:b/>
          <w:bCs/>
          <w:i/>
          <w:iCs/>
          <w:color w:val="000000" w:themeColor="text1"/>
          <w:sz w:val="20"/>
          <w:szCs w:val="20"/>
        </w:rPr>
        <w:t>(International Trade Centre, 2024)</w:t>
      </w:r>
    </w:p>
    <w:p w14:paraId="129562D7" w14:textId="77777777" w:rsidR="00547B7F" w:rsidRPr="001E59F1" w:rsidRDefault="00547B7F" w:rsidP="00EB19DA">
      <w:pPr>
        <w:spacing w:after="0"/>
        <w:ind w:firstLine="425"/>
        <w:jc w:val="center"/>
        <w:rPr>
          <w:i/>
          <w:iCs/>
          <w:color w:val="000000" w:themeColor="text1"/>
          <w:sz w:val="24"/>
          <w:szCs w:val="24"/>
        </w:rPr>
      </w:pPr>
    </w:p>
    <w:p w14:paraId="23D2389D" w14:textId="7FAA321F" w:rsidR="00547B7F" w:rsidRPr="00B47223" w:rsidRDefault="00A873D0" w:rsidP="00EB19DA">
      <w:pPr>
        <w:spacing w:after="0"/>
        <w:ind w:firstLine="425"/>
        <w:jc w:val="both"/>
        <w:rPr>
          <w:sz w:val="24"/>
          <w:szCs w:val="24"/>
        </w:rPr>
      </w:pPr>
      <w:r w:rsidRPr="001E59F1">
        <w:rPr>
          <w:sz w:val="24"/>
          <w:szCs w:val="24"/>
        </w:rPr>
        <w:t>Areca nut is categorized as a non-priority national commodity in Indonesia; however, its export presents an opportunity for broader market expansion. Such expansion must be accompanied by enhanced competitiveness to capture new markets, taking into account the market conditions and the export performance of Indonesian areca nut. Assessing export performance is crucial to understanding fluctuations in trade trends and analyzing competition among areca nut exporters in the international market. In this context, it is essential for stakeholders in the areca nut industry to comprehend global market dynamics, including consumption trends and consumer preferences in target countries. This understanding is necessary to ensure that areca nut export activities operate more efficiently and effectively, and to enable both the government and exporters to formulate appropriate strategies and export policies when entering new markets. Furthermore, to elevate areca nut to the status of a priority commodity, strategic measures are needed across various aspects. Therefore, further research on this matter is warranted.</w:t>
      </w:r>
      <w:r w:rsidR="005D3AA6" w:rsidRPr="001E59F1">
        <w:rPr>
          <w:sz w:val="24"/>
          <w:szCs w:val="24"/>
        </w:rPr>
        <w:t xml:space="preserve"> What strategies can be implemented to increase demand and strengthen the market position of Indonesian areca nut international?</w:t>
      </w:r>
    </w:p>
    <w:p w14:paraId="0094F1D3" w14:textId="07FD8489" w:rsidR="00BE7E9B" w:rsidRPr="001E59F1" w:rsidRDefault="00E56C0A" w:rsidP="001803E5">
      <w:pPr>
        <w:spacing w:before="240" w:after="0"/>
        <w:rPr>
          <w:b/>
          <w:sz w:val="24"/>
          <w:szCs w:val="24"/>
        </w:rPr>
      </w:pPr>
      <w:r w:rsidRPr="001E59F1">
        <w:rPr>
          <w:b/>
          <w:sz w:val="24"/>
          <w:szCs w:val="24"/>
        </w:rPr>
        <w:t xml:space="preserve">METHODS </w:t>
      </w:r>
    </w:p>
    <w:p w14:paraId="7D2A3A8F" w14:textId="77777777" w:rsidR="00BE7E9B" w:rsidRPr="001E59F1" w:rsidRDefault="00BE7E9B" w:rsidP="001803E5">
      <w:pPr>
        <w:jc w:val="both"/>
        <w:rPr>
          <w:b/>
          <w:sz w:val="24"/>
          <w:szCs w:val="24"/>
        </w:rPr>
      </w:pPr>
      <w:r w:rsidRPr="001E59F1">
        <w:rPr>
          <w:b/>
          <w:sz w:val="24"/>
          <w:szCs w:val="24"/>
        </w:rPr>
        <w:t>Types and Sources of Data</w:t>
      </w:r>
    </w:p>
    <w:p w14:paraId="24860868" w14:textId="3EF8C5D6" w:rsidR="009819D1" w:rsidRPr="001E59F1" w:rsidRDefault="009819D1" w:rsidP="00EB19DA">
      <w:pPr>
        <w:spacing w:after="0"/>
        <w:ind w:firstLine="425"/>
        <w:jc w:val="both"/>
        <w:rPr>
          <w:sz w:val="24"/>
          <w:szCs w:val="24"/>
        </w:rPr>
      </w:pPr>
      <w:r w:rsidRPr="001E59F1">
        <w:rPr>
          <w:sz w:val="24"/>
          <w:szCs w:val="24"/>
        </w:rPr>
        <w:t xml:space="preserve">This study utilizes secondary data classified under HS code: 080280 – Areca nut, fresh or dried. This code refers to areca nut commodities, both fresh and dried, which are among Indonesia’s key export products with high demand in international markets. The focus of this </w:t>
      </w:r>
      <w:r w:rsidRPr="001E59F1">
        <w:rPr>
          <w:sz w:val="24"/>
          <w:szCs w:val="24"/>
        </w:rPr>
        <w:lastRenderedPageBreak/>
        <w:t>research is on the dynamics of Indonesia’s areca nut export competitiveness and its demand, particularly in global markets that include major importing countries. The study employs time series data covering the period from 2012 to 2024</w:t>
      </w:r>
    </w:p>
    <w:p w14:paraId="70D2A0FE" w14:textId="586136F4" w:rsidR="00B6374C" w:rsidRPr="001E59F1" w:rsidRDefault="00BE7E9B" w:rsidP="001803E5">
      <w:pPr>
        <w:spacing w:after="0"/>
        <w:jc w:val="both"/>
        <w:rPr>
          <w:b/>
          <w:sz w:val="24"/>
          <w:szCs w:val="24"/>
        </w:rPr>
      </w:pPr>
      <w:r w:rsidRPr="001E59F1">
        <w:rPr>
          <w:b/>
          <w:sz w:val="24"/>
          <w:szCs w:val="24"/>
        </w:rPr>
        <w:t>Data Analysis Method</w:t>
      </w:r>
    </w:p>
    <w:p w14:paraId="75F3903F" w14:textId="79296BAB" w:rsidR="00B6374C" w:rsidRPr="001E59F1" w:rsidRDefault="00B6374C" w:rsidP="00EB19DA">
      <w:pPr>
        <w:spacing w:after="0"/>
        <w:ind w:firstLine="425"/>
        <w:jc w:val="both"/>
        <w:rPr>
          <w:b/>
          <w:sz w:val="24"/>
          <w:szCs w:val="24"/>
        </w:rPr>
      </w:pPr>
      <w:r w:rsidRPr="001E59F1">
        <w:rPr>
          <w:rFonts w:eastAsia="Times New Roman"/>
          <w:sz w:val="24"/>
          <w:szCs w:val="24"/>
          <w:lang w:val="en-ID" w:eastAsia="en-ID"/>
        </w:rPr>
        <w:t xml:space="preserve">The Almost Ideal Demand System (AIDS) method is used to </w:t>
      </w:r>
      <w:proofErr w:type="spellStart"/>
      <w:r w:rsidRPr="001E59F1">
        <w:rPr>
          <w:rFonts w:eastAsia="Times New Roman"/>
          <w:sz w:val="24"/>
          <w:szCs w:val="24"/>
          <w:lang w:val="en-ID" w:eastAsia="en-ID"/>
        </w:rPr>
        <w:t>analyze</w:t>
      </w:r>
      <w:proofErr w:type="spellEnd"/>
      <w:r w:rsidRPr="001E59F1">
        <w:rPr>
          <w:rFonts w:eastAsia="Times New Roman"/>
          <w:sz w:val="24"/>
          <w:szCs w:val="24"/>
          <w:lang w:val="en-ID" w:eastAsia="en-ID"/>
        </w:rPr>
        <w:t xml:space="preserve"> a country's competitiveness by estimating cross-price elasticity, own-price elasticity, and expenditure elasticity (</w:t>
      </w:r>
      <w:r w:rsidRPr="00271E25">
        <w:rPr>
          <w:rFonts w:eastAsia="Times New Roman"/>
          <w:color w:val="2F5496" w:themeColor="accent5" w:themeShade="BF"/>
          <w:sz w:val="24"/>
          <w:szCs w:val="24"/>
          <w:lang w:val="en-ID" w:eastAsia="en-ID"/>
        </w:rPr>
        <w:t>Wan et al., 2010</w:t>
      </w:r>
      <w:r w:rsidRPr="001E59F1">
        <w:rPr>
          <w:rFonts w:eastAsia="Times New Roman"/>
          <w:sz w:val="24"/>
          <w:szCs w:val="24"/>
          <w:lang w:val="en-ID" w:eastAsia="en-ID"/>
        </w:rPr>
        <w:t>). In this study, the AIDS model is applied to evaluate the international market position of Indonesian areca nut by estimating expenditure elasticity, cross-price elasticity, and own-price elasticity. This approach enables a more accurate analysis of the demand system for areca nut in the global market by taking into account the interrelationship between income, prices, and consumption levels. Moreover, the model illustrates the competitive dynamics between Indonesia and its major exporting competitors—namely Thailand, Myanmar, and India</w:t>
      </w:r>
      <w:r w:rsidR="00271E25">
        <w:rPr>
          <w:rFonts w:eastAsia="Times New Roman"/>
          <w:sz w:val="24"/>
          <w:szCs w:val="24"/>
          <w:lang w:val="en-ID" w:eastAsia="en-ID"/>
        </w:rPr>
        <w:t xml:space="preserve"> </w:t>
      </w:r>
      <w:r w:rsidRPr="001E59F1">
        <w:rPr>
          <w:rFonts w:eastAsia="Times New Roman"/>
          <w:sz w:val="24"/>
          <w:szCs w:val="24"/>
          <w:lang w:val="en-ID" w:eastAsia="en-ID"/>
        </w:rPr>
        <w:t>in the global areca nut trade.</w:t>
      </w:r>
    </w:p>
    <w:p w14:paraId="228E8788" w14:textId="020ADE01" w:rsidR="00B6374C" w:rsidRPr="001E59F1" w:rsidRDefault="00B6374C" w:rsidP="00EB19DA">
      <w:pPr>
        <w:spacing w:after="0"/>
        <w:ind w:firstLine="425"/>
        <w:jc w:val="both"/>
        <w:rPr>
          <w:b/>
          <w:sz w:val="24"/>
          <w:szCs w:val="24"/>
        </w:rPr>
      </w:pPr>
      <w:r w:rsidRPr="001E59F1">
        <w:rPr>
          <w:rFonts w:eastAsia="Times New Roman"/>
          <w:sz w:val="24"/>
          <w:szCs w:val="24"/>
          <w:lang w:val="en-ID" w:eastAsia="en-ID"/>
        </w:rPr>
        <w:t>To estimate this demand system, the Seemingly Unrelated Regression (SUR) method is employed, which allows for more efficient estimation of the demand equations by considering the correlation of error terms across the equations. This approach not only improves the accuracy of the analysis but also enhances its robustness in addressing heteroskedasticity issues commonly found in economic data. Furthermore, the SUR method ensures that the estimations comply with key economic principles such as adding-up, homogeneity, and symmetry, which are essential assumptions of the AIDS model. Therefore, the use of this method provides more valid elasticity estimates that can serve as a foundation for formulating effective trade policies for Indonesian areca nut in the global market.</w:t>
      </w:r>
    </w:p>
    <w:p w14:paraId="50F21E62" w14:textId="77777777" w:rsidR="00B6374C" w:rsidRPr="001E59F1" w:rsidRDefault="00B6374C" w:rsidP="00EB19DA">
      <w:pPr>
        <w:spacing w:after="0"/>
        <w:ind w:firstLine="425"/>
        <w:rPr>
          <w:rFonts w:eastAsia="Times New Roman"/>
          <w:sz w:val="24"/>
          <w:szCs w:val="24"/>
          <w:lang w:val="en-ID" w:eastAsia="en-ID"/>
        </w:rPr>
      </w:pPr>
      <w:r w:rsidRPr="001E59F1">
        <w:rPr>
          <w:rFonts w:eastAsia="Times New Roman"/>
          <w:sz w:val="24"/>
          <w:szCs w:val="24"/>
          <w:lang w:val="en-ID" w:eastAsia="en-ID"/>
        </w:rPr>
        <w:t>In the AIDS model, the SUR formulation can be expressed as follows:</w:t>
      </w:r>
    </w:p>
    <w:p w14:paraId="252F6F4E" w14:textId="77777777" w:rsidR="00B6374C" w:rsidRPr="001E59F1" w:rsidRDefault="00B6374C" w:rsidP="00EB19DA">
      <w:pPr>
        <w:spacing w:after="0"/>
        <w:ind w:firstLine="425"/>
        <w:rPr>
          <w:rFonts w:eastAsiaTheme="minorEastAsia"/>
          <w:sz w:val="24"/>
          <w:szCs w:val="24"/>
        </w:rPr>
      </w:pPr>
      <w:r w:rsidRPr="001E59F1">
        <w:rPr>
          <w:sz w:val="24"/>
          <w:szCs w:val="24"/>
        </w:rPr>
        <w:t>W</w:t>
      </w:r>
      <w:r w:rsidRPr="001E59F1">
        <w:rPr>
          <w:sz w:val="24"/>
          <w:szCs w:val="24"/>
          <w:vertAlign w:val="subscript"/>
        </w:rPr>
        <w:t>i</w:t>
      </w:r>
      <w:r w:rsidRPr="001E59F1">
        <w:rPr>
          <w:sz w:val="24"/>
          <w:szCs w:val="24"/>
        </w:rPr>
        <w:t xml:space="preserve"> = α</w:t>
      </w:r>
      <w:proofErr w:type="spellStart"/>
      <w:r w:rsidRPr="001E59F1">
        <w:rPr>
          <w:sz w:val="24"/>
          <w:szCs w:val="24"/>
          <w:vertAlign w:val="subscript"/>
        </w:rPr>
        <w:t>i</w:t>
      </w:r>
      <w:proofErr w:type="spellEnd"/>
      <w:r w:rsidRPr="001E59F1">
        <w:rPr>
          <w:sz w:val="24"/>
          <w:szCs w:val="24"/>
        </w:rPr>
        <w:t xml:space="preserve"> + </w:t>
      </w:r>
      <m:oMath>
        <m:nary>
          <m:naryPr>
            <m:chr m:val="∑"/>
            <m:limLoc m:val="undOvr"/>
            <m:ctrlPr>
              <w:rPr>
                <w:rFonts w:ascii="Cambria Math" w:hAnsi="Cambria Math"/>
                <w:i/>
                <w:sz w:val="24"/>
                <w:szCs w:val="24"/>
              </w:rPr>
            </m:ctrlPr>
          </m:naryPr>
          <m:sub>
            <m:r>
              <w:rPr>
                <w:rFonts w:ascii="Cambria Math" w:hAnsi="Cambria Math"/>
                <w:sz w:val="24"/>
                <w:szCs w:val="24"/>
              </w:rPr>
              <m:t>j=1</m:t>
            </m:r>
          </m:sub>
          <m:sup>
            <m:r>
              <w:rPr>
                <w:rFonts w:ascii="Cambria Math" w:hAnsi="Cambria Math"/>
                <w:sz w:val="24"/>
                <w:szCs w:val="24"/>
              </w:rPr>
              <m:t>n</m:t>
            </m:r>
          </m:sup>
          <m:e>
            <m:r>
              <w:rPr>
                <w:rFonts w:ascii="Cambria Math" w:hAnsi="Cambria Math"/>
                <w:sz w:val="24"/>
                <w:szCs w:val="24"/>
              </w:rPr>
              <m:t>Yij</m:t>
            </m:r>
            <m:func>
              <m:funcPr>
                <m:ctrlPr>
                  <w:rPr>
                    <w:rFonts w:ascii="Cambria Math" w:hAnsi="Cambria Math"/>
                    <w:i/>
                    <w:sz w:val="24"/>
                    <w:szCs w:val="24"/>
                  </w:rPr>
                </m:ctrlPr>
              </m:funcPr>
              <m:fName>
                <m:r>
                  <m:rPr>
                    <m:sty m:val="p"/>
                  </m:rPr>
                  <w:rPr>
                    <w:rFonts w:ascii="Cambria Math" w:hAnsi="Cambria Math"/>
                    <w:sz w:val="24"/>
                    <w:szCs w:val="24"/>
                  </w:rPr>
                  <m:t>log</m:t>
                </m:r>
              </m:fName>
              <m:e>
                <m:r>
                  <w:rPr>
                    <w:rFonts w:ascii="Cambria Math" w:hAnsi="Cambria Math"/>
                    <w:sz w:val="24"/>
                    <w:szCs w:val="24"/>
                  </w:rPr>
                  <m:t>Pj+ βi</m:t>
                </m:r>
                <m:func>
                  <m:funcPr>
                    <m:ctrlPr>
                      <w:rPr>
                        <w:rFonts w:ascii="Cambria Math" w:hAnsi="Cambria Math"/>
                        <w:i/>
                        <w:sz w:val="24"/>
                        <w:szCs w:val="24"/>
                      </w:rPr>
                    </m:ctrlPr>
                  </m:funcPr>
                  <m:fName>
                    <m:r>
                      <m:rPr>
                        <m:sty m:val="p"/>
                      </m:rPr>
                      <w:rPr>
                        <w:rFonts w:ascii="Cambria Math" w:hAnsi="Cambria Math"/>
                        <w:sz w:val="24"/>
                        <w:szCs w:val="24"/>
                      </w:rPr>
                      <m:t>ln</m:t>
                    </m:r>
                  </m:fName>
                  <m:e>
                    <m:f>
                      <m:fPr>
                        <m:ctrlPr>
                          <w:rPr>
                            <w:rFonts w:ascii="Cambria Math" w:hAnsi="Cambria Math"/>
                            <w:i/>
                            <w:sz w:val="24"/>
                            <w:szCs w:val="24"/>
                          </w:rPr>
                        </m:ctrlPr>
                      </m:fPr>
                      <m:num>
                        <m:r>
                          <w:rPr>
                            <w:rFonts w:ascii="Cambria Math" w:hAnsi="Cambria Math"/>
                            <w:sz w:val="24"/>
                            <w:szCs w:val="24"/>
                          </w:rPr>
                          <m:t>x</m:t>
                        </m:r>
                      </m:num>
                      <m:den>
                        <m:sSup>
                          <m:sSupPr>
                            <m:ctrlPr>
                              <w:rPr>
                                <w:rFonts w:ascii="Cambria Math" w:hAnsi="Cambria Math"/>
                                <w:i/>
                                <w:sz w:val="24"/>
                                <w:szCs w:val="24"/>
                              </w:rPr>
                            </m:ctrlPr>
                          </m:sSupPr>
                          <m:e>
                            <m:r>
                              <w:rPr>
                                <w:rFonts w:ascii="Cambria Math" w:hAnsi="Cambria Math"/>
                                <w:sz w:val="24"/>
                                <w:szCs w:val="24"/>
                              </w:rPr>
                              <m:t>P</m:t>
                            </m:r>
                          </m:e>
                          <m:sup>
                            <m:r>
                              <w:rPr>
                                <w:rFonts w:ascii="Cambria Math" w:hAnsi="Cambria Math"/>
                                <w:sz w:val="24"/>
                                <w:szCs w:val="24"/>
                              </w:rPr>
                              <m:t>*</m:t>
                            </m:r>
                          </m:sup>
                        </m:sSup>
                      </m:den>
                    </m:f>
                  </m:e>
                </m:func>
              </m:e>
            </m:func>
          </m:e>
        </m:nary>
      </m:oMath>
    </w:p>
    <w:p w14:paraId="0FC37582" w14:textId="77777777" w:rsidR="00B6374C" w:rsidRPr="001E59F1" w:rsidRDefault="00B6374C" w:rsidP="00EB19DA">
      <w:pPr>
        <w:spacing w:after="0"/>
        <w:ind w:firstLine="425"/>
        <w:rPr>
          <w:rFonts w:eastAsia="Times New Roman"/>
          <w:sz w:val="24"/>
          <w:szCs w:val="24"/>
          <w:lang w:val="en-ID" w:eastAsia="en-ID"/>
        </w:rPr>
      </w:pPr>
      <w:r w:rsidRPr="001E59F1">
        <w:rPr>
          <w:rFonts w:eastAsia="Times New Roman"/>
          <w:sz w:val="24"/>
          <w:szCs w:val="24"/>
          <w:lang w:val="en-ID" w:eastAsia="en-ID"/>
        </w:rPr>
        <w:t>Where:</w:t>
      </w:r>
      <w:r w:rsidRPr="001E59F1">
        <w:rPr>
          <w:rFonts w:eastAsia="Times New Roman"/>
          <w:sz w:val="24"/>
          <w:szCs w:val="24"/>
          <w:lang w:val="en-ID" w:eastAsia="en-ID"/>
        </w:rPr>
        <w:br/>
      </w:r>
      <w:r w:rsidRPr="001E59F1">
        <w:rPr>
          <w:rFonts w:eastAsia="Times New Roman"/>
          <w:sz w:val="24"/>
          <w:szCs w:val="24"/>
          <w:lang w:eastAsia="en-ID"/>
        </w:rPr>
        <w:t>W</w:t>
      </w:r>
      <w:r w:rsidRPr="001E59F1">
        <w:rPr>
          <w:rFonts w:eastAsia="Times New Roman"/>
          <w:sz w:val="24"/>
          <w:szCs w:val="24"/>
          <w:vertAlign w:val="subscript"/>
          <w:lang w:eastAsia="en-ID"/>
        </w:rPr>
        <w:t>i</w:t>
      </w:r>
      <w:r w:rsidRPr="001E59F1">
        <w:rPr>
          <w:rFonts w:eastAsia="Times New Roman"/>
          <w:sz w:val="24"/>
          <w:szCs w:val="24"/>
          <w:vertAlign w:val="subscript"/>
          <w:lang w:eastAsia="en-ID"/>
        </w:rPr>
        <w:tab/>
      </w:r>
      <w:r w:rsidRPr="001E59F1">
        <w:rPr>
          <w:rFonts w:eastAsia="Times New Roman"/>
          <w:sz w:val="24"/>
          <w:szCs w:val="24"/>
          <w:lang w:val="en-ID" w:eastAsia="en-ID"/>
        </w:rPr>
        <w:t>= the market share of Indonesian areca nut exports in the international market</w:t>
      </w:r>
      <w:r w:rsidRPr="001E59F1">
        <w:rPr>
          <w:rFonts w:eastAsia="Times New Roman"/>
          <w:sz w:val="24"/>
          <w:szCs w:val="24"/>
          <w:lang w:val="en-ID" w:eastAsia="en-ID"/>
        </w:rPr>
        <w:br/>
        <w:t>P</w:t>
      </w:r>
      <w:r w:rsidRPr="001E59F1">
        <w:rPr>
          <w:rFonts w:eastAsia="Times New Roman"/>
          <w:sz w:val="24"/>
          <w:szCs w:val="24"/>
          <w:lang w:val="en-ID" w:eastAsia="en-ID"/>
        </w:rPr>
        <w:tab/>
        <w:t>= the price from the exporting country</w:t>
      </w:r>
      <w:r w:rsidRPr="001E59F1">
        <w:rPr>
          <w:rFonts w:eastAsia="Times New Roman"/>
          <w:sz w:val="24"/>
          <w:szCs w:val="24"/>
          <w:lang w:val="en-ID" w:eastAsia="en-ID"/>
        </w:rPr>
        <w:br/>
        <w:t xml:space="preserve">X </w:t>
      </w:r>
      <w:r w:rsidRPr="001E59F1">
        <w:rPr>
          <w:rFonts w:eastAsia="Times New Roman"/>
          <w:sz w:val="24"/>
          <w:szCs w:val="24"/>
          <w:lang w:val="en-ID" w:eastAsia="en-ID"/>
        </w:rPr>
        <w:tab/>
        <w:t>= total import value</w:t>
      </w:r>
      <w:r w:rsidRPr="001E59F1">
        <w:rPr>
          <w:rFonts w:eastAsia="Times New Roman"/>
          <w:sz w:val="24"/>
          <w:szCs w:val="24"/>
          <w:lang w:val="en-ID" w:eastAsia="en-ID"/>
        </w:rPr>
        <w:br/>
        <w:t>P</w:t>
      </w:r>
      <w:r w:rsidRPr="001E59F1">
        <w:rPr>
          <w:rFonts w:ascii="Cambria Math" w:eastAsia="Times New Roman" w:hAnsi="Cambria Math" w:cs="Cambria Math"/>
          <w:sz w:val="24"/>
          <w:szCs w:val="24"/>
          <w:lang w:val="en-ID" w:eastAsia="en-ID"/>
        </w:rPr>
        <w:t>∗</w:t>
      </w:r>
      <w:r w:rsidRPr="001E59F1">
        <w:rPr>
          <w:rFonts w:eastAsia="Times New Roman"/>
          <w:sz w:val="24"/>
          <w:szCs w:val="24"/>
          <w:lang w:val="en-ID" w:eastAsia="en-ID"/>
        </w:rPr>
        <w:t xml:space="preserve"> </w:t>
      </w:r>
      <w:r w:rsidRPr="001E59F1">
        <w:rPr>
          <w:rFonts w:eastAsia="Times New Roman"/>
          <w:sz w:val="24"/>
          <w:szCs w:val="24"/>
          <w:lang w:val="en-ID" w:eastAsia="en-ID"/>
        </w:rPr>
        <w:tab/>
        <w:t>= Stone’s geometric price index = ∑</w:t>
      </w:r>
      <w:proofErr w:type="spellStart"/>
      <w:r w:rsidRPr="001E59F1">
        <w:rPr>
          <w:rFonts w:eastAsia="Times New Roman"/>
          <w:sz w:val="24"/>
          <w:szCs w:val="24"/>
          <w:lang w:val="en-ID" w:eastAsia="en-ID"/>
        </w:rPr>
        <w:t>wi</w:t>
      </w:r>
      <w:r w:rsidRPr="001E59F1">
        <w:rPr>
          <w:rFonts w:ascii="Cambria Math" w:eastAsia="Times New Roman" w:hAnsi="Cambria Math" w:cs="Cambria Math"/>
          <w:sz w:val="24"/>
          <w:szCs w:val="24"/>
          <w:lang w:val="en-ID" w:eastAsia="en-ID"/>
        </w:rPr>
        <w:t>⋅</w:t>
      </w:r>
      <w:r w:rsidRPr="001E59F1">
        <w:rPr>
          <w:rFonts w:eastAsia="Times New Roman"/>
          <w:sz w:val="24"/>
          <w:szCs w:val="24"/>
          <w:lang w:val="en-ID" w:eastAsia="en-ID"/>
        </w:rPr>
        <w:t>pi</w:t>
      </w:r>
      <w:proofErr w:type="spellEnd"/>
      <w:r w:rsidRPr="001E59F1">
        <w:rPr>
          <w:rFonts w:eastAsia="Times New Roman"/>
          <w:sz w:val="24"/>
          <w:szCs w:val="24"/>
          <w:lang w:val="en-ID" w:eastAsia="en-ID"/>
        </w:rPr>
        <w:t xml:space="preserve"> </w:t>
      </w:r>
      <w:r w:rsidRPr="001E59F1">
        <w:rPr>
          <w:rFonts w:eastAsia="Times New Roman"/>
          <w:sz w:val="24"/>
          <w:szCs w:val="24"/>
          <w:lang w:val="en-ID" w:eastAsia="en-ID"/>
        </w:rPr>
        <w:br/>
      </w:r>
      <w:proofErr w:type="gramStart"/>
      <w:r w:rsidRPr="001E59F1">
        <w:rPr>
          <w:rFonts w:eastAsia="Times New Roman"/>
          <w:sz w:val="24"/>
          <w:szCs w:val="24"/>
          <w:lang w:val="en-ID" w:eastAsia="en-ID"/>
        </w:rPr>
        <w:t>α,,</w:t>
      </w:r>
      <w:proofErr w:type="gramEnd"/>
      <w:r w:rsidRPr="001E59F1">
        <w:rPr>
          <w:rFonts w:eastAsia="Times New Roman"/>
          <w:sz w:val="24"/>
          <w:szCs w:val="24"/>
          <w:lang w:val="en-ID" w:eastAsia="en-ID"/>
        </w:rPr>
        <w:t xml:space="preserve">γ,β </w:t>
      </w:r>
      <w:r w:rsidRPr="001E59F1">
        <w:rPr>
          <w:rFonts w:eastAsia="Times New Roman"/>
          <w:sz w:val="24"/>
          <w:szCs w:val="24"/>
          <w:lang w:val="en-ID" w:eastAsia="en-ID"/>
        </w:rPr>
        <w:tab/>
        <w:t>= regression parameters</w:t>
      </w:r>
    </w:p>
    <w:p w14:paraId="43535AD8" w14:textId="587FC3A2" w:rsidR="00B6374C" w:rsidRPr="001E59F1" w:rsidRDefault="00B6374C" w:rsidP="00EB19DA">
      <w:pPr>
        <w:spacing w:after="0"/>
        <w:ind w:firstLine="425"/>
        <w:jc w:val="both"/>
        <w:rPr>
          <w:rFonts w:eastAsia="Times New Roman"/>
          <w:sz w:val="24"/>
          <w:szCs w:val="24"/>
          <w:lang w:val="en-ID" w:eastAsia="en-ID"/>
        </w:rPr>
      </w:pPr>
      <w:r w:rsidRPr="001E59F1">
        <w:rPr>
          <w:rFonts w:eastAsia="Times New Roman"/>
          <w:sz w:val="24"/>
          <w:szCs w:val="24"/>
          <w:lang w:val="en-ID" w:eastAsia="en-ID"/>
        </w:rPr>
        <w:t xml:space="preserve">The AIDS model has a significant advantage in that it allows for structural estimation while incorporating essential economic restrictions such as homogeneity and symmetry, and simultaneously satisfying the adding-up condition. These restrictions are implemented in accordance with the foundational structure of the AIDS model, which encompasses various interrelated demand </w:t>
      </w:r>
      <w:proofErr w:type="spellStart"/>
      <w:proofErr w:type="gramStart"/>
      <w:r w:rsidRPr="001E59F1">
        <w:rPr>
          <w:rFonts w:eastAsia="Times New Roman"/>
          <w:sz w:val="24"/>
          <w:szCs w:val="24"/>
          <w:lang w:val="en-ID" w:eastAsia="en-ID"/>
        </w:rPr>
        <w:t>functions.The</w:t>
      </w:r>
      <w:proofErr w:type="spellEnd"/>
      <w:proofErr w:type="gramEnd"/>
      <w:r w:rsidRPr="001E59F1">
        <w:rPr>
          <w:rFonts w:eastAsia="Times New Roman"/>
          <w:sz w:val="24"/>
          <w:szCs w:val="24"/>
          <w:lang w:val="en-ID" w:eastAsia="en-ID"/>
        </w:rPr>
        <w:t xml:space="preserve"> following are the standard restrictions applied in the AIDS model:</w:t>
      </w:r>
    </w:p>
    <w:p w14:paraId="2806CEED" w14:textId="039071C5" w:rsidR="002C5EDA" w:rsidRPr="001E59F1" w:rsidRDefault="00B6374C" w:rsidP="00EB19DA">
      <w:pPr>
        <w:spacing w:after="0"/>
        <w:ind w:firstLine="425"/>
        <w:rPr>
          <w:rFonts w:eastAsia="Times New Roman"/>
          <w:sz w:val="24"/>
          <w:szCs w:val="24"/>
          <w:lang w:val="en-ID" w:eastAsia="en-ID"/>
        </w:rPr>
      </w:pPr>
      <w:r w:rsidRPr="001E59F1">
        <w:rPr>
          <w:rFonts w:eastAsia="Times New Roman"/>
          <w:sz w:val="24"/>
          <w:szCs w:val="24"/>
          <w:lang w:val="en-ID" w:eastAsia="en-ID"/>
        </w:rPr>
        <w:t>a. Adding-up</w:t>
      </w:r>
      <w:r w:rsidRPr="001E59F1">
        <w:rPr>
          <w:rFonts w:eastAsia="Times New Roman"/>
          <w:sz w:val="24"/>
          <w:szCs w:val="24"/>
          <w:lang w:val="en-ID" w:eastAsia="en-ID"/>
        </w:rPr>
        <w:br/>
        <w:t>The total expenditure across all demand functions must be equal to the total income or budget.</w:t>
      </w:r>
    </w:p>
    <w:p w14:paraId="35CB0D60" w14:textId="77777777" w:rsidR="00322B20" w:rsidRPr="001E59F1" w:rsidRDefault="004614B4" w:rsidP="00EB19DA">
      <w:pPr>
        <w:spacing w:after="0"/>
        <w:ind w:left="284" w:firstLine="425"/>
        <w:rPr>
          <w:sz w:val="24"/>
          <w:szCs w:val="24"/>
        </w:rPr>
      </w:pPr>
      <m:oMathPara>
        <m:oMath>
          <m:nary>
            <m:naryPr>
              <m:chr m:val="∑"/>
              <m:limLoc m:val="undOvr"/>
              <m:ctrlPr>
                <w:rPr>
                  <w:rFonts w:ascii="Cambria Math" w:hAnsi="Cambria Math"/>
                  <w:i/>
                  <w:iCs/>
                  <w:sz w:val="24"/>
                  <w:szCs w:val="24"/>
                  <w:lang w:val="id-ID"/>
                </w:rPr>
              </m:ctrlPr>
            </m:naryPr>
            <m:sub>
              <m:r>
                <w:rPr>
                  <w:rFonts w:ascii="Cambria Math" w:hAnsi="Cambria Math"/>
                  <w:sz w:val="24"/>
                  <w:szCs w:val="24"/>
                  <w:lang w:val="id-ID"/>
                </w:rPr>
                <m:t>i=1</m:t>
              </m:r>
            </m:sub>
            <m:sup>
              <m:r>
                <w:rPr>
                  <w:rFonts w:ascii="Cambria Math" w:hAnsi="Cambria Math"/>
                  <w:sz w:val="24"/>
                  <w:szCs w:val="24"/>
                  <w:lang w:val="id-ID"/>
                </w:rPr>
                <m:t>n</m:t>
              </m:r>
            </m:sup>
            <m:e>
              <m:sSub>
                <m:sSubPr>
                  <m:ctrlPr>
                    <w:rPr>
                      <w:rFonts w:ascii="Cambria Math" w:hAnsi="Cambria Math"/>
                      <w:i/>
                      <w:iCs/>
                      <w:sz w:val="24"/>
                      <w:szCs w:val="24"/>
                      <w:lang w:val="id-ID"/>
                    </w:rPr>
                  </m:ctrlPr>
                </m:sSubPr>
                <m:e>
                  <m:r>
                    <w:rPr>
                      <w:rFonts w:ascii="Cambria Math" w:hAnsi="Cambria Math"/>
                      <w:sz w:val="24"/>
                      <w:szCs w:val="24"/>
                      <w:lang w:val="id-ID"/>
                    </w:rPr>
                    <m:t>∝</m:t>
                  </m:r>
                </m:e>
                <m:sub>
                  <m:r>
                    <w:rPr>
                      <w:rFonts w:ascii="Cambria Math" w:hAnsi="Cambria Math"/>
                      <w:sz w:val="24"/>
                      <w:szCs w:val="24"/>
                      <w:lang w:val="id-ID"/>
                    </w:rPr>
                    <m:t>i </m:t>
                  </m:r>
                </m:sub>
              </m:sSub>
              <m:r>
                <w:rPr>
                  <w:rFonts w:ascii="Cambria Math" w:hAnsi="Cambria Math"/>
                  <w:sz w:val="24"/>
                  <w:szCs w:val="24"/>
                  <w:lang w:val="id-ID"/>
                </w:rPr>
                <m:t>=1,  </m:t>
              </m:r>
              <m:nary>
                <m:naryPr>
                  <m:chr m:val="∑"/>
                  <m:limLoc m:val="undOvr"/>
                  <m:ctrlPr>
                    <w:rPr>
                      <w:rFonts w:ascii="Cambria Math" w:hAnsi="Cambria Math"/>
                      <w:i/>
                      <w:iCs/>
                      <w:sz w:val="24"/>
                      <w:szCs w:val="24"/>
                      <w:lang w:val="id-ID"/>
                    </w:rPr>
                  </m:ctrlPr>
                </m:naryPr>
                <m:sub>
                  <m:r>
                    <w:rPr>
                      <w:rFonts w:ascii="Cambria Math" w:hAnsi="Cambria Math"/>
                      <w:sz w:val="24"/>
                      <w:szCs w:val="24"/>
                      <w:lang w:val="id-ID"/>
                    </w:rPr>
                    <m:t>i=1</m:t>
                  </m:r>
                </m:sub>
                <m:sup>
                  <m:r>
                    <w:rPr>
                      <w:rFonts w:ascii="Cambria Math" w:hAnsi="Cambria Math"/>
                      <w:sz w:val="24"/>
                      <w:szCs w:val="24"/>
                      <w:lang w:val="id-ID"/>
                    </w:rPr>
                    <m:t>n</m:t>
                  </m:r>
                </m:sup>
                <m:e>
                  <m:sSub>
                    <m:sSubPr>
                      <m:ctrlPr>
                        <w:rPr>
                          <w:rFonts w:ascii="Cambria Math" w:hAnsi="Cambria Math"/>
                          <w:i/>
                          <w:iCs/>
                          <w:sz w:val="24"/>
                          <w:szCs w:val="24"/>
                          <w:lang w:val="id-ID"/>
                        </w:rPr>
                      </m:ctrlPr>
                    </m:sSubPr>
                    <m:e>
                      <m:r>
                        <w:rPr>
                          <w:rFonts w:ascii="Cambria Math" w:hAnsi="Cambria Math"/>
                          <w:sz w:val="24"/>
                          <w:szCs w:val="24"/>
                          <w:lang w:val="id-ID"/>
                        </w:rPr>
                        <m:t>γ</m:t>
                      </m:r>
                    </m:e>
                    <m:sub>
                      <m:r>
                        <w:rPr>
                          <w:rFonts w:ascii="Cambria Math" w:hAnsi="Cambria Math"/>
                          <w:sz w:val="24"/>
                          <w:szCs w:val="24"/>
                          <w:lang w:val="id-ID"/>
                        </w:rPr>
                        <m:t>ij </m:t>
                      </m:r>
                    </m:sub>
                  </m:sSub>
                  <m:r>
                    <w:rPr>
                      <w:rFonts w:ascii="Cambria Math" w:hAnsi="Cambria Math"/>
                      <w:sz w:val="24"/>
                      <w:szCs w:val="24"/>
                      <w:lang w:val="id-ID"/>
                    </w:rPr>
                    <m:t>=0,  </m:t>
                  </m:r>
                  <m:nary>
                    <m:naryPr>
                      <m:chr m:val="∑"/>
                      <m:limLoc m:val="undOvr"/>
                      <m:ctrlPr>
                        <w:rPr>
                          <w:rFonts w:ascii="Cambria Math" w:hAnsi="Cambria Math"/>
                          <w:i/>
                          <w:iCs/>
                          <w:sz w:val="24"/>
                          <w:szCs w:val="24"/>
                          <w:lang w:val="id-ID"/>
                        </w:rPr>
                      </m:ctrlPr>
                    </m:naryPr>
                    <m:sub>
                      <m:r>
                        <w:rPr>
                          <w:rFonts w:ascii="Cambria Math" w:hAnsi="Cambria Math"/>
                          <w:sz w:val="24"/>
                          <w:szCs w:val="24"/>
                          <w:lang w:val="id-ID"/>
                        </w:rPr>
                        <m:t>i=1</m:t>
                      </m:r>
                    </m:sub>
                    <m:sup>
                      <m:r>
                        <w:rPr>
                          <w:rFonts w:ascii="Cambria Math" w:hAnsi="Cambria Math"/>
                          <w:sz w:val="24"/>
                          <w:szCs w:val="24"/>
                          <w:lang w:val="id-ID"/>
                        </w:rPr>
                        <m:t>n</m:t>
                      </m:r>
                    </m:sup>
                    <m:e>
                      <m:sSub>
                        <m:sSubPr>
                          <m:ctrlPr>
                            <w:rPr>
                              <w:rFonts w:ascii="Cambria Math" w:hAnsi="Cambria Math"/>
                              <w:i/>
                              <w:iCs/>
                              <w:sz w:val="24"/>
                              <w:szCs w:val="24"/>
                              <w:lang w:val="id-ID"/>
                            </w:rPr>
                          </m:ctrlPr>
                        </m:sSubPr>
                        <m:e>
                          <m:r>
                            <w:rPr>
                              <w:rFonts w:ascii="Cambria Math" w:hAnsi="Cambria Math"/>
                              <w:sz w:val="24"/>
                              <w:szCs w:val="24"/>
                              <w:lang w:val="id-ID"/>
                            </w:rPr>
                            <m:t>β</m:t>
                          </m:r>
                        </m:e>
                        <m:sub>
                          <m:r>
                            <w:rPr>
                              <w:rFonts w:ascii="Cambria Math" w:hAnsi="Cambria Math"/>
                              <w:sz w:val="24"/>
                              <w:szCs w:val="24"/>
                              <w:lang w:val="id-ID"/>
                            </w:rPr>
                            <m:t>i </m:t>
                          </m:r>
                        </m:sub>
                      </m:sSub>
                      <m:r>
                        <w:rPr>
                          <w:rFonts w:ascii="Cambria Math" w:hAnsi="Cambria Math"/>
                          <w:sz w:val="24"/>
                          <w:szCs w:val="24"/>
                          <w:lang w:val="id-ID"/>
                        </w:rPr>
                        <m:t>=0 </m:t>
                      </m:r>
                    </m:e>
                  </m:nary>
                  <m:r>
                    <w:rPr>
                      <w:rFonts w:ascii="Cambria Math" w:hAnsi="Cambria Math"/>
                      <w:sz w:val="24"/>
                      <w:szCs w:val="24"/>
                      <w:lang w:val="id-ID"/>
                    </w:rPr>
                    <m:t> </m:t>
                  </m:r>
                </m:e>
              </m:nary>
              <m:r>
                <w:rPr>
                  <w:rFonts w:ascii="Cambria Math" w:hAnsi="Cambria Math"/>
                  <w:sz w:val="24"/>
                  <w:szCs w:val="24"/>
                  <w:lang w:val="id-ID"/>
                </w:rPr>
                <m:t> </m:t>
              </m:r>
            </m:e>
          </m:nary>
        </m:oMath>
      </m:oMathPara>
    </w:p>
    <w:p w14:paraId="57694A03" w14:textId="1410BFE3" w:rsidR="00322B20" w:rsidRPr="001E59F1" w:rsidRDefault="00322B20" w:rsidP="00EB19DA">
      <w:pPr>
        <w:spacing w:after="0"/>
        <w:ind w:firstLine="425"/>
        <w:jc w:val="both"/>
        <w:rPr>
          <w:rFonts w:eastAsia="Times New Roman"/>
          <w:sz w:val="24"/>
          <w:szCs w:val="24"/>
          <w:lang w:eastAsia="en-ID"/>
        </w:rPr>
      </w:pPr>
      <w:proofErr w:type="spellStart"/>
      <w:proofErr w:type="gramStart"/>
      <w:r w:rsidRPr="001E59F1">
        <w:rPr>
          <w:rFonts w:eastAsia="Times New Roman"/>
          <w:sz w:val="24"/>
          <w:szCs w:val="24"/>
          <w:lang w:eastAsia="en-ID"/>
        </w:rPr>
        <w:t>b.Homogeneity</w:t>
      </w:r>
      <w:proofErr w:type="spellEnd"/>
      <w:proofErr w:type="gramEnd"/>
      <w:r w:rsidRPr="001E59F1">
        <w:rPr>
          <w:rFonts w:eastAsia="Times New Roman"/>
          <w:sz w:val="24"/>
          <w:szCs w:val="24"/>
          <w:lang w:eastAsia="en-ID"/>
        </w:rPr>
        <w:br/>
        <w:t>Homogeneity is a condition that ensures the demand for a commodity remains unchanged when there is a proportional change in both income and prices. This results directly from the property of demand functions being homogeneous of degree zero with respect to prices and income.</w:t>
      </w:r>
    </w:p>
    <w:p w14:paraId="28C85027" w14:textId="77777777" w:rsidR="00322B20" w:rsidRPr="001E59F1" w:rsidRDefault="004614B4" w:rsidP="00EB19DA">
      <w:pPr>
        <w:spacing w:after="0"/>
        <w:ind w:left="284" w:firstLine="425"/>
        <w:rPr>
          <w:sz w:val="24"/>
          <w:szCs w:val="24"/>
        </w:rPr>
      </w:pPr>
      <m:oMathPara>
        <m:oMath>
          <m:nary>
            <m:naryPr>
              <m:chr m:val="∑"/>
              <m:limLoc m:val="undOvr"/>
              <m:ctrlPr>
                <w:rPr>
                  <w:rFonts w:ascii="Cambria Math" w:hAnsi="Cambria Math"/>
                  <w:i/>
                  <w:iCs/>
                  <w:sz w:val="24"/>
                  <w:szCs w:val="24"/>
                  <w:lang w:val="id-ID"/>
                </w:rPr>
              </m:ctrlPr>
            </m:naryPr>
            <m:sub>
              <m:r>
                <w:rPr>
                  <w:rFonts w:ascii="Cambria Math" w:hAnsi="Cambria Math"/>
                  <w:sz w:val="24"/>
                  <w:szCs w:val="24"/>
                  <w:lang w:val="id-ID"/>
                </w:rPr>
                <m:t>i=1</m:t>
              </m:r>
            </m:sub>
            <m:sup>
              <m:r>
                <w:rPr>
                  <w:rFonts w:ascii="Cambria Math" w:hAnsi="Cambria Math"/>
                  <w:sz w:val="24"/>
                  <w:szCs w:val="24"/>
                  <w:lang w:val="id-ID"/>
                </w:rPr>
                <m:t>n</m:t>
              </m:r>
            </m:sup>
            <m:e>
              <m:sSub>
                <m:sSubPr>
                  <m:ctrlPr>
                    <w:rPr>
                      <w:rFonts w:ascii="Cambria Math" w:hAnsi="Cambria Math"/>
                      <w:i/>
                      <w:iCs/>
                      <w:sz w:val="24"/>
                      <w:szCs w:val="24"/>
                      <w:lang w:val="id-ID"/>
                    </w:rPr>
                  </m:ctrlPr>
                </m:sSubPr>
                <m:e>
                  <m:r>
                    <w:rPr>
                      <w:rFonts w:ascii="Cambria Math" w:hAnsi="Cambria Math"/>
                      <w:sz w:val="24"/>
                      <w:szCs w:val="24"/>
                      <w:lang w:val="id-ID"/>
                    </w:rPr>
                    <m:t>γ</m:t>
                  </m:r>
                </m:e>
                <m:sub>
                  <m:r>
                    <w:rPr>
                      <w:rFonts w:ascii="Cambria Math" w:hAnsi="Cambria Math"/>
                      <w:sz w:val="24"/>
                      <w:szCs w:val="24"/>
                      <w:lang w:val="id-ID"/>
                    </w:rPr>
                    <m:t>ij</m:t>
                  </m:r>
                </m:sub>
              </m:sSub>
              <m:r>
                <w:rPr>
                  <w:rFonts w:ascii="Cambria Math" w:hAnsi="Cambria Math"/>
                  <w:sz w:val="24"/>
                  <w:szCs w:val="24"/>
                  <w:lang w:val="id-ID"/>
                </w:rPr>
                <m:t>=0  </m:t>
              </m:r>
            </m:e>
          </m:nary>
        </m:oMath>
      </m:oMathPara>
    </w:p>
    <w:p w14:paraId="5135603F" w14:textId="4F39B6F8" w:rsidR="00322B20" w:rsidRPr="001E59F1" w:rsidRDefault="00322B20" w:rsidP="00EB19DA">
      <w:pPr>
        <w:spacing w:after="0"/>
        <w:ind w:firstLine="425"/>
        <w:jc w:val="both"/>
        <w:rPr>
          <w:rFonts w:eastAsia="Times New Roman"/>
          <w:sz w:val="24"/>
          <w:szCs w:val="24"/>
          <w:lang w:val="en-ID" w:eastAsia="en-ID"/>
        </w:rPr>
      </w:pPr>
      <w:proofErr w:type="spellStart"/>
      <w:r w:rsidRPr="001E59F1">
        <w:rPr>
          <w:rFonts w:eastAsia="Times New Roman"/>
          <w:sz w:val="24"/>
          <w:szCs w:val="24"/>
          <w:lang w:val="en-ID" w:eastAsia="en-ID"/>
        </w:rPr>
        <w:lastRenderedPageBreak/>
        <w:t>c.Symmetry</w:t>
      </w:r>
      <w:proofErr w:type="spellEnd"/>
      <w:r w:rsidRPr="001E59F1">
        <w:rPr>
          <w:rFonts w:eastAsia="Times New Roman"/>
          <w:sz w:val="24"/>
          <w:szCs w:val="24"/>
          <w:lang w:val="en-ID" w:eastAsia="en-ID"/>
        </w:rPr>
        <w:br/>
        <w:t>The symmetry condition implies that the cross-price effects in demand responses are symmetric; that is, the effect of a price change in one good on the demand for another good is equal to the reverse effect.</w:t>
      </w:r>
    </w:p>
    <w:p w14:paraId="132FC0AB" w14:textId="77777777" w:rsidR="00322B20" w:rsidRPr="001E59F1" w:rsidRDefault="004614B4" w:rsidP="00EB19DA">
      <w:pPr>
        <w:spacing w:after="0"/>
        <w:ind w:left="1287" w:right="1630" w:firstLine="425"/>
        <w:rPr>
          <w:rFonts w:eastAsiaTheme="minorEastAsia"/>
          <w:b/>
          <w:i/>
          <w:iCs/>
          <w:sz w:val="24"/>
          <w:szCs w:val="24"/>
          <w:lang w:val="id-ID"/>
        </w:rPr>
      </w:pPr>
      <m:oMathPara>
        <m:oMath>
          <m:sSub>
            <m:sSubPr>
              <m:ctrlPr>
                <w:rPr>
                  <w:rFonts w:ascii="Cambria Math" w:hAnsi="Cambria Math"/>
                  <w:b/>
                  <w:i/>
                  <w:iCs/>
                  <w:sz w:val="24"/>
                  <w:szCs w:val="24"/>
                  <w:lang w:val="id-ID"/>
                </w:rPr>
              </m:ctrlPr>
            </m:sSubPr>
            <m:e>
              <m:r>
                <m:rPr>
                  <m:sty m:val="bi"/>
                </m:rPr>
                <w:rPr>
                  <w:rFonts w:ascii="Cambria Math" w:hAnsi="Cambria Math"/>
                  <w:sz w:val="24"/>
                  <w:szCs w:val="24"/>
                  <w:lang w:val="id-ID"/>
                </w:rPr>
                <m:t>γ</m:t>
              </m:r>
            </m:e>
            <m:sub>
              <m:r>
                <m:rPr>
                  <m:sty m:val="bi"/>
                </m:rPr>
                <w:rPr>
                  <w:rFonts w:ascii="Cambria Math" w:hAnsi="Cambria Math"/>
                  <w:sz w:val="24"/>
                  <w:szCs w:val="24"/>
                  <w:lang w:val="id-ID"/>
                </w:rPr>
                <m:t>ij= </m:t>
              </m:r>
            </m:sub>
          </m:sSub>
          <m:sSub>
            <m:sSubPr>
              <m:ctrlPr>
                <w:rPr>
                  <w:rFonts w:ascii="Cambria Math" w:hAnsi="Cambria Math"/>
                  <w:b/>
                  <w:i/>
                  <w:iCs/>
                  <w:sz w:val="24"/>
                  <w:szCs w:val="24"/>
                  <w:lang w:val="id-ID"/>
                </w:rPr>
              </m:ctrlPr>
            </m:sSubPr>
            <m:e>
              <m:r>
                <m:rPr>
                  <m:sty m:val="bi"/>
                </m:rPr>
                <w:rPr>
                  <w:rFonts w:ascii="Cambria Math" w:hAnsi="Cambria Math"/>
                  <w:sz w:val="24"/>
                  <w:szCs w:val="24"/>
                  <w:lang w:val="id-ID"/>
                </w:rPr>
                <m:t>γ</m:t>
              </m:r>
            </m:e>
            <m:sub>
              <m:r>
                <m:rPr>
                  <m:sty m:val="bi"/>
                </m:rPr>
                <w:rPr>
                  <w:rFonts w:ascii="Cambria Math" w:hAnsi="Cambria Math"/>
                  <w:sz w:val="24"/>
                  <w:szCs w:val="24"/>
                  <w:lang w:val="id-ID"/>
                </w:rPr>
                <m:t>ji </m:t>
              </m:r>
            </m:sub>
          </m:sSub>
        </m:oMath>
      </m:oMathPara>
    </w:p>
    <w:p w14:paraId="13A9F782" w14:textId="77777777" w:rsidR="00322B20" w:rsidRPr="001E59F1" w:rsidRDefault="00322B20" w:rsidP="00EB19DA">
      <w:pPr>
        <w:spacing w:after="0"/>
        <w:ind w:firstLine="425"/>
        <w:jc w:val="both"/>
        <w:rPr>
          <w:rFonts w:eastAsia="Times New Roman"/>
          <w:sz w:val="24"/>
          <w:szCs w:val="24"/>
          <w:lang w:val="en-ID" w:eastAsia="en-ID"/>
        </w:rPr>
      </w:pPr>
      <w:r w:rsidRPr="001E59F1">
        <w:rPr>
          <w:rFonts w:eastAsia="Times New Roman"/>
          <w:sz w:val="24"/>
          <w:szCs w:val="24"/>
          <w:lang w:val="en-ID" w:eastAsia="en-ID"/>
        </w:rPr>
        <w:t>The SUR results can be further processed to calculate the cross-price elasticity, which reflects the competitive relationship between Indonesian areca nut and other exporting countries such as Thailand, Myanmar, and India. In addition, the own-price elasticity and expenditure elasticity can also be derived. The following are the formulas used to compute these elasticities:</w:t>
      </w:r>
    </w:p>
    <w:p w14:paraId="2ACF278D" w14:textId="77777777" w:rsidR="0055324A" w:rsidRPr="001E59F1" w:rsidRDefault="00322B20" w:rsidP="00EB19DA">
      <w:pPr>
        <w:numPr>
          <w:ilvl w:val="0"/>
          <w:numId w:val="13"/>
        </w:numPr>
        <w:spacing w:after="0"/>
        <w:ind w:firstLine="425"/>
        <w:rPr>
          <w:rFonts w:eastAsia="Times New Roman"/>
          <w:sz w:val="24"/>
          <w:szCs w:val="24"/>
          <w:lang w:val="en-ID" w:eastAsia="en-ID"/>
        </w:rPr>
      </w:pPr>
      <w:r w:rsidRPr="001E59F1">
        <w:rPr>
          <w:rFonts w:eastAsia="Times New Roman"/>
          <w:sz w:val="24"/>
          <w:szCs w:val="24"/>
          <w:lang w:val="en-ID" w:eastAsia="en-ID"/>
        </w:rPr>
        <w:t>Own-Price Elasticity (Uncompensated)</w:t>
      </w:r>
    </w:p>
    <w:p w14:paraId="3241766E" w14:textId="14701480" w:rsidR="002D3A04" w:rsidRPr="001E59F1" w:rsidRDefault="002D3A04" w:rsidP="00EB19DA">
      <w:pPr>
        <w:spacing w:after="0"/>
        <w:ind w:firstLine="425"/>
        <w:jc w:val="both"/>
        <w:rPr>
          <w:rFonts w:eastAsia="Times New Roman"/>
          <w:sz w:val="24"/>
          <w:szCs w:val="24"/>
          <w:lang w:val="en-ID" w:eastAsia="en-ID"/>
        </w:rPr>
      </w:pPr>
      <w:bookmarkStart w:id="0" w:name="_Hlk203081619"/>
      <w:r w:rsidRPr="001E59F1">
        <w:rPr>
          <w:rFonts w:eastAsia="Times New Roman"/>
          <w:sz w:val="24"/>
          <w:szCs w:val="24"/>
          <w:lang w:val="en-ID" w:eastAsia="en-ID"/>
        </w:rPr>
        <w:t xml:space="preserve">Own-Price Elasticity </w:t>
      </w:r>
      <w:bookmarkEnd w:id="0"/>
      <w:r w:rsidRPr="001E59F1">
        <w:rPr>
          <w:sz w:val="24"/>
          <w:szCs w:val="24"/>
        </w:rPr>
        <w:t>is a measure that describes the extent to which the quantity of a good demanded responds to a change in price. This elasticity is calculated as the percentage change in quantity demanded divided by the percentage change in price (</w:t>
      </w:r>
      <w:r w:rsidRPr="00271E25">
        <w:rPr>
          <w:color w:val="2F5496" w:themeColor="accent5" w:themeShade="BF"/>
          <w:sz w:val="24"/>
          <w:szCs w:val="24"/>
        </w:rPr>
        <w:t>Baye and Prince, 2022</w:t>
      </w:r>
      <w:r w:rsidRPr="001E59F1">
        <w:rPr>
          <w:sz w:val="24"/>
          <w:szCs w:val="24"/>
        </w:rPr>
        <w:t>).</w:t>
      </w:r>
    </w:p>
    <w:p w14:paraId="24CF9FDE" w14:textId="619E34A4" w:rsidR="0055324A" w:rsidRPr="001E59F1" w:rsidRDefault="00322B20" w:rsidP="00EB19DA">
      <w:pPr>
        <w:spacing w:after="0"/>
        <w:ind w:left="360" w:firstLine="425"/>
        <w:rPr>
          <w:sz w:val="24"/>
          <w:szCs w:val="24"/>
        </w:rPr>
      </w:pPr>
      <w:proofErr w:type="spellStart"/>
      <w:r w:rsidRPr="001E59F1">
        <w:rPr>
          <w:sz w:val="24"/>
          <w:szCs w:val="24"/>
        </w:rPr>
        <w:t>eij</w:t>
      </w:r>
      <w:proofErr w:type="spellEnd"/>
      <w:r w:rsidRPr="001E59F1">
        <w:rPr>
          <w:sz w:val="24"/>
          <w:szCs w:val="24"/>
        </w:rPr>
        <w:t xml:space="preserve"> = −</w:t>
      </w:r>
      <w:r w:rsidRPr="001E59F1">
        <w:rPr>
          <w:rFonts w:ascii="Cambria Math" w:hAnsi="Cambria Math" w:cs="Cambria Math"/>
          <w:sz w:val="24"/>
          <w:szCs w:val="24"/>
        </w:rPr>
        <w:t>𝛿</w:t>
      </w:r>
      <w:r w:rsidRPr="001E59F1">
        <w:rPr>
          <w:sz w:val="24"/>
          <w:szCs w:val="24"/>
        </w:rPr>
        <w:t xml:space="preserve"> + </w:t>
      </w:r>
      <m:oMath>
        <m:f>
          <m:fPr>
            <m:ctrlPr>
              <w:rPr>
                <w:rFonts w:ascii="Cambria Math" w:hAnsi="Cambria Math"/>
                <w:i/>
                <w:sz w:val="24"/>
                <w:szCs w:val="24"/>
              </w:rPr>
            </m:ctrlPr>
          </m:fPr>
          <m:num>
            <m:r>
              <w:rPr>
                <w:rFonts w:ascii="Cambria Math" w:hAnsi="Cambria Math"/>
                <w:sz w:val="24"/>
                <w:szCs w:val="24"/>
              </w:rPr>
              <m:t>Yii</m:t>
            </m:r>
          </m:num>
          <m:den>
            <m:r>
              <w:rPr>
                <w:rFonts w:ascii="Cambria Math" w:hAnsi="Cambria Math"/>
                <w:sz w:val="24"/>
                <w:szCs w:val="24"/>
              </w:rPr>
              <m:t>Wi</m:t>
            </m:r>
          </m:den>
        </m:f>
      </m:oMath>
      <w:r w:rsidRPr="001E59F1">
        <w:rPr>
          <w:rFonts w:eastAsiaTheme="minorEastAsia"/>
          <w:sz w:val="24"/>
          <w:szCs w:val="24"/>
        </w:rPr>
        <w:t xml:space="preserve"> – </w:t>
      </w:r>
      <w:r w:rsidRPr="001E59F1">
        <w:rPr>
          <w:rFonts w:ascii="Cambria Math" w:hAnsi="Cambria Math" w:cs="Cambria Math"/>
          <w:sz w:val="24"/>
          <w:szCs w:val="24"/>
        </w:rPr>
        <w:t>𝛽𝑖</w:t>
      </w:r>
      <w:r w:rsidRPr="001E59F1">
        <w:rPr>
          <w:sz w:val="24"/>
          <w:szCs w:val="24"/>
        </w:rPr>
        <w:t xml:space="preserve"> </w:t>
      </w:r>
      <m:oMath>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Wj</m:t>
                </m:r>
              </m:num>
              <m:den>
                <m:r>
                  <w:rPr>
                    <w:rFonts w:ascii="Cambria Math" w:hAnsi="Cambria Math"/>
                    <w:sz w:val="24"/>
                    <w:szCs w:val="24"/>
                  </w:rPr>
                  <m:t>Wi</m:t>
                </m:r>
              </m:den>
            </m:f>
          </m:e>
        </m:d>
      </m:oMath>
    </w:p>
    <w:p w14:paraId="50B7D38B" w14:textId="292EAEB4" w:rsidR="00AD18D4" w:rsidRPr="001E59F1" w:rsidRDefault="002D3A04" w:rsidP="00EB19DA">
      <w:pPr>
        <w:spacing w:after="0"/>
        <w:ind w:left="360" w:firstLine="425"/>
        <w:rPr>
          <w:rStyle w:val="Emphasis"/>
          <w:sz w:val="24"/>
          <w:szCs w:val="24"/>
        </w:rPr>
      </w:pPr>
      <w:r w:rsidRPr="001E59F1">
        <w:rPr>
          <w:rStyle w:val="Strong"/>
          <w:b w:val="0"/>
          <w:bCs w:val="0"/>
          <w:sz w:val="24"/>
          <w:szCs w:val="24"/>
        </w:rPr>
        <w:t>eᵢⱼ</w:t>
      </w:r>
      <w:r w:rsidRPr="001E59F1">
        <w:rPr>
          <w:b/>
          <w:bCs/>
          <w:sz w:val="24"/>
          <w:szCs w:val="24"/>
        </w:rPr>
        <w:t xml:space="preserve"> = </w:t>
      </w:r>
      <w:r w:rsidRPr="001E59F1">
        <w:rPr>
          <w:rStyle w:val="Emphasis"/>
          <w:sz w:val="24"/>
          <w:szCs w:val="24"/>
        </w:rPr>
        <w:t>Price elasticity of demand</w:t>
      </w:r>
      <w:r w:rsidRPr="001E59F1">
        <w:rPr>
          <w:rStyle w:val="Emphasis"/>
          <w:sz w:val="24"/>
          <w:szCs w:val="24"/>
        </w:rPr>
        <w:br/>
      </w:r>
      <w:r w:rsidR="0055324A" w:rsidRPr="001E59F1">
        <w:rPr>
          <w:rStyle w:val="Strong"/>
          <w:b w:val="0"/>
          <w:bCs w:val="0"/>
          <w:sz w:val="24"/>
          <w:szCs w:val="24"/>
        </w:rPr>
        <w:t>γᵢⱼ</w:t>
      </w:r>
      <w:r w:rsidR="0055324A" w:rsidRPr="001E59F1">
        <w:rPr>
          <w:sz w:val="24"/>
          <w:szCs w:val="24"/>
        </w:rPr>
        <w:t xml:space="preserve"> = </w:t>
      </w:r>
      <w:r w:rsidR="0055324A" w:rsidRPr="001E59F1">
        <w:rPr>
          <w:rStyle w:val="Emphasis"/>
          <w:sz w:val="24"/>
          <w:szCs w:val="24"/>
        </w:rPr>
        <w:t>Parameter of the price of areca nut in market j</w:t>
      </w:r>
    </w:p>
    <w:p w14:paraId="7EF0FB37" w14:textId="698D77E3" w:rsidR="0055324A" w:rsidRPr="001E59F1" w:rsidRDefault="0055324A" w:rsidP="00EB19DA">
      <w:pPr>
        <w:spacing w:after="0"/>
        <w:ind w:left="360" w:firstLine="425"/>
        <w:rPr>
          <w:rStyle w:val="Emphasis"/>
          <w:sz w:val="24"/>
          <w:szCs w:val="24"/>
        </w:rPr>
      </w:pPr>
      <w:r w:rsidRPr="001E59F1">
        <w:rPr>
          <w:rStyle w:val="Strong"/>
          <w:b w:val="0"/>
          <w:bCs w:val="0"/>
          <w:sz w:val="24"/>
          <w:szCs w:val="24"/>
        </w:rPr>
        <w:t>βᵢ</w:t>
      </w:r>
      <w:r w:rsidRPr="001E59F1">
        <w:rPr>
          <w:sz w:val="24"/>
          <w:szCs w:val="24"/>
        </w:rPr>
        <w:t xml:space="preserve"> = </w:t>
      </w:r>
      <w:r w:rsidRPr="001E59F1">
        <w:rPr>
          <w:rStyle w:val="Emphasis"/>
          <w:sz w:val="24"/>
          <w:szCs w:val="24"/>
        </w:rPr>
        <w:t>Total export value of areca nut in market j</w:t>
      </w:r>
    </w:p>
    <w:p w14:paraId="733D3D58" w14:textId="0964BFAF" w:rsidR="0055324A" w:rsidRPr="001E59F1" w:rsidRDefault="0055324A" w:rsidP="00EB19DA">
      <w:pPr>
        <w:spacing w:after="0"/>
        <w:ind w:left="360" w:firstLine="425"/>
        <w:rPr>
          <w:rStyle w:val="Emphasis"/>
          <w:sz w:val="24"/>
          <w:szCs w:val="24"/>
        </w:rPr>
      </w:pPr>
      <w:r w:rsidRPr="001E59F1">
        <w:rPr>
          <w:rStyle w:val="Strong"/>
          <w:b w:val="0"/>
          <w:bCs w:val="0"/>
          <w:sz w:val="24"/>
          <w:szCs w:val="24"/>
        </w:rPr>
        <w:t>Wᵢ</w:t>
      </w:r>
      <w:r w:rsidRPr="001E59F1">
        <w:rPr>
          <w:sz w:val="24"/>
          <w:szCs w:val="24"/>
        </w:rPr>
        <w:t xml:space="preserve"> = </w:t>
      </w:r>
      <w:r w:rsidRPr="001E59F1">
        <w:rPr>
          <w:rStyle w:val="Emphasis"/>
          <w:sz w:val="24"/>
          <w:szCs w:val="24"/>
        </w:rPr>
        <w:t xml:space="preserve">Market share of areca nut from country </w:t>
      </w:r>
      <w:proofErr w:type="spellStart"/>
      <w:r w:rsidRPr="001E59F1">
        <w:rPr>
          <w:rStyle w:val="Emphasis"/>
          <w:sz w:val="24"/>
          <w:szCs w:val="24"/>
        </w:rPr>
        <w:t>i</w:t>
      </w:r>
      <w:proofErr w:type="spellEnd"/>
      <w:r w:rsidRPr="001E59F1">
        <w:rPr>
          <w:rStyle w:val="Emphasis"/>
          <w:sz w:val="24"/>
          <w:szCs w:val="24"/>
        </w:rPr>
        <w:br/>
      </w:r>
      <w:r w:rsidRPr="001E59F1">
        <w:rPr>
          <w:rStyle w:val="Strong"/>
          <w:b w:val="0"/>
          <w:bCs w:val="0"/>
          <w:sz w:val="24"/>
          <w:szCs w:val="24"/>
        </w:rPr>
        <w:t>Wⱼ</w:t>
      </w:r>
      <w:r w:rsidRPr="001E59F1">
        <w:rPr>
          <w:sz w:val="24"/>
          <w:szCs w:val="24"/>
        </w:rPr>
        <w:t xml:space="preserve"> = </w:t>
      </w:r>
      <w:r w:rsidRPr="001E59F1">
        <w:rPr>
          <w:rStyle w:val="Emphasis"/>
          <w:sz w:val="24"/>
          <w:szCs w:val="24"/>
        </w:rPr>
        <w:t>Market share of areca nut from country j</w:t>
      </w:r>
    </w:p>
    <w:p w14:paraId="6C03B6F0" w14:textId="727225CE" w:rsidR="0055324A" w:rsidRPr="001E59F1" w:rsidRDefault="0055324A" w:rsidP="00EB19DA">
      <w:pPr>
        <w:spacing w:after="0"/>
        <w:ind w:firstLine="425"/>
        <w:rPr>
          <w:sz w:val="24"/>
          <w:szCs w:val="24"/>
        </w:rPr>
      </w:pPr>
      <w:r w:rsidRPr="001E59F1">
        <w:rPr>
          <w:sz w:val="24"/>
          <w:szCs w:val="24"/>
          <w:lang w:val="en-ID"/>
        </w:rPr>
        <w:t xml:space="preserve">Own-Price Elasticity </w:t>
      </w:r>
      <w:r w:rsidRPr="001E59F1">
        <w:rPr>
          <w:sz w:val="24"/>
          <w:szCs w:val="24"/>
        </w:rPr>
        <w:t>typically negative, reflecting the inverse relationship between price and quantity demanded. It can be classified into three categories:</w:t>
      </w:r>
    </w:p>
    <w:p w14:paraId="4DB34FD3" w14:textId="77777777" w:rsidR="0055324A" w:rsidRPr="001E59F1" w:rsidRDefault="0055324A" w:rsidP="00EB19DA">
      <w:pPr>
        <w:pStyle w:val="ListParagraph"/>
        <w:numPr>
          <w:ilvl w:val="0"/>
          <w:numId w:val="14"/>
        </w:numPr>
        <w:spacing w:after="0" w:line="240" w:lineRule="auto"/>
        <w:ind w:firstLine="425"/>
        <w:rPr>
          <w:rFonts w:ascii="Times New Roman" w:hAnsi="Times New Roman" w:cs="Times New Roman"/>
          <w:sz w:val="24"/>
          <w:szCs w:val="24"/>
        </w:rPr>
      </w:pPr>
      <w:r w:rsidRPr="001E59F1">
        <w:rPr>
          <w:rFonts w:ascii="Times New Roman" w:hAnsi="Times New Roman" w:cs="Times New Roman"/>
          <w:sz w:val="24"/>
          <w:szCs w:val="24"/>
        </w:rPr>
        <w:t>Ep &gt; 1 indicates elastic demand, where the percentage change in quantity demanded exceeds the percentage change in price;</w:t>
      </w:r>
    </w:p>
    <w:p w14:paraId="73E6546F" w14:textId="77777777" w:rsidR="0055324A" w:rsidRPr="001E59F1" w:rsidRDefault="0055324A" w:rsidP="00EB19DA">
      <w:pPr>
        <w:pStyle w:val="ListParagraph"/>
        <w:numPr>
          <w:ilvl w:val="0"/>
          <w:numId w:val="14"/>
        </w:numPr>
        <w:spacing w:after="0" w:line="240" w:lineRule="auto"/>
        <w:ind w:firstLine="425"/>
        <w:rPr>
          <w:rFonts w:ascii="Times New Roman" w:hAnsi="Times New Roman" w:cs="Times New Roman"/>
          <w:sz w:val="24"/>
          <w:szCs w:val="24"/>
        </w:rPr>
      </w:pPr>
      <w:r w:rsidRPr="001E59F1">
        <w:rPr>
          <w:rFonts w:ascii="Times New Roman" w:hAnsi="Times New Roman" w:cs="Times New Roman"/>
          <w:sz w:val="24"/>
          <w:szCs w:val="24"/>
        </w:rPr>
        <w:t>Ep = 1 reflects unitary elasticity, where both changes are equal;</w:t>
      </w:r>
    </w:p>
    <w:p w14:paraId="173918EA" w14:textId="24153F02" w:rsidR="0055324A" w:rsidRPr="00547B7F" w:rsidRDefault="0055324A" w:rsidP="00EB19DA">
      <w:pPr>
        <w:pStyle w:val="ListParagraph"/>
        <w:numPr>
          <w:ilvl w:val="0"/>
          <w:numId w:val="14"/>
        </w:numPr>
        <w:spacing w:after="0" w:line="240" w:lineRule="auto"/>
        <w:ind w:firstLine="425"/>
        <w:rPr>
          <w:rFonts w:ascii="Times New Roman" w:hAnsi="Times New Roman" w:cs="Times New Roman"/>
          <w:sz w:val="24"/>
          <w:szCs w:val="24"/>
        </w:rPr>
      </w:pPr>
      <w:r w:rsidRPr="001E59F1">
        <w:rPr>
          <w:rFonts w:ascii="Times New Roman" w:hAnsi="Times New Roman" w:cs="Times New Roman"/>
          <w:sz w:val="24"/>
          <w:szCs w:val="24"/>
        </w:rPr>
        <w:t>Ep &lt; 1 denotes inelastic demand, where the quantity change is smaller than the price change.</w:t>
      </w:r>
    </w:p>
    <w:p w14:paraId="0F30F08E" w14:textId="047D91EB" w:rsidR="00322B20" w:rsidRPr="001E59F1" w:rsidRDefault="00881EDF" w:rsidP="00EB19DA">
      <w:pPr>
        <w:pStyle w:val="ListParagraph"/>
        <w:numPr>
          <w:ilvl w:val="0"/>
          <w:numId w:val="13"/>
        </w:numPr>
        <w:spacing w:after="0" w:line="240" w:lineRule="auto"/>
        <w:ind w:firstLine="425"/>
        <w:rPr>
          <w:rFonts w:ascii="Times New Roman" w:eastAsia="Times New Roman" w:hAnsi="Times New Roman" w:cs="Times New Roman"/>
          <w:sz w:val="24"/>
          <w:szCs w:val="24"/>
          <w:lang w:val="en-ID" w:eastAsia="en-ID"/>
        </w:rPr>
      </w:pPr>
      <w:r w:rsidRPr="001E59F1">
        <w:rPr>
          <w:rFonts w:ascii="Times New Roman" w:hAnsi="Times New Roman" w:cs="Times New Roman"/>
          <w:sz w:val="24"/>
          <w:szCs w:val="24"/>
        </w:rPr>
        <w:t>Cross-Price Elasticity (Compensated)</w:t>
      </w:r>
    </w:p>
    <w:p w14:paraId="60538DBB" w14:textId="278B367B" w:rsidR="0055324A" w:rsidRPr="001E59F1" w:rsidRDefault="00D056FB" w:rsidP="00EB19DA">
      <w:pPr>
        <w:pStyle w:val="ListParagraph"/>
        <w:spacing w:after="0" w:line="240" w:lineRule="auto"/>
        <w:ind w:firstLine="425"/>
        <w:rPr>
          <w:rFonts w:ascii="Times New Roman" w:eastAsia="Times New Roman" w:hAnsi="Times New Roman" w:cs="Times New Roman"/>
          <w:sz w:val="24"/>
          <w:szCs w:val="24"/>
          <w:lang w:val="en-ID" w:eastAsia="en-ID"/>
        </w:rPr>
      </w:pPr>
      <w:r w:rsidRPr="001E59F1">
        <w:rPr>
          <w:rFonts w:ascii="Times New Roman" w:hAnsi="Times New Roman" w:cs="Times New Roman"/>
          <w:sz w:val="24"/>
          <w:szCs w:val="24"/>
        </w:rPr>
        <w:t>Cross-Price Elasticity measures how a change in the price of one product affects the demand for another. It is calculated as the percentage change in the quantity demanded of the second good divided by the percentage change in the price of the first (</w:t>
      </w:r>
      <w:r w:rsidRPr="00271E25">
        <w:rPr>
          <w:rFonts w:ascii="Times New Roman" w:hAnsi="Times New Roman" w:cs="Times New Roman"/>
          <w:color w:val="2F5496" w:themeColor="accent5" w:themeShade="BF"/>
          <w:sz w:val="24"/>
          <w:szCs w:val="24"/>
        </w:rPr>
        <w:t>Baye &amp; Prince, 2022</w:t>
      </w:r>
      <w:r w:rsidRPr="001E59F1">
        <w:rPr>
          <w:rFonts w:ascii="Times New Roman" w:hAnsi="Times New Roman" w:cs="Times New Roman"/>
          <w:sz w:val="24"/>
          <w:szCs w:val="24"/>
        </w:rPr>
        <w:t>).</w:t>
      </w:r>
    </w:p>
    <w:p w14:paraId="3E881F85" w14:textId="0937FE6A" w:rsidR="00B2108B" w:rsidRPr="00547B7F" w:rsidRDefault="00881EDF" w:rsidP="00EB19DA">
      <w:pPr>
        <w:pStyle w:val="ListParagraph"/>
        <w:spacing w:after="0" w:line="240" w:lineRule="auto"/>
        <w:ind w:firstLine="425"/>
        <w:rPr>
          <w:rFonts w:ascii="Times New Roman" w:hAnsi="Times New Roman" w:cs="Times New Roman"/>
          <w:sz w:val="24"/>
          <w:szCs w:val="24"/>
        </w:rPr>
      </w:pPr>
      <w:proofErr w:type="spellStart"/>
      <w:r w:rsidRPr="001E59F1">
        <w:rPr>
          <w:rFonts w:ascii="Times New Roman" w:hAnsi="Times New Roman" w:cs="Times New Roman"/>
          <w:sz w:val="24"/>
          <w:szCs w:val="24"/>
        </w:rPr>
        <w:t>e</w:t>
      </w:r>
      <w:r w:rsidRPr="001E59F1">
        <w:rPr>
          <w:rFonts w:ascii="Cambria Math" w:hAnsi="Cambria Math" w:cs="Cambria Math"/>
          <w:sz w:val="24"/>
          <w:szCs w:val="24"/>
        </w:rPr>
        <w:t>∗</w:t>
      </w:r>
      <w:r w:rsidRPr="001E59F1">
        <w:rPr>
          <w:rFonts w:ascii="Times New Roman" w:hAnsi="Times New Roman" w:cs="Times New Roman"/>
          <w:sz w:val="24"/>
          <w:szCs w:val="24"/>
          <w:vertAlign w:val="subscript"/>
        </w:rPr>
        <w:t>ij</w:t>
      </w:r>
      <w:proofErr w:type="spellEnd"/>
      <w:r w:rsidRPr="001E59F1">
        <w:rPr>
          <w:rFonts w:ascii="Times New Roman" w:hAnsi="Times New Roman" w:cs="Times New Roman"/>
          <w:sz w:val="24"/>
          <w:szCs w:val="24"/>
        </w:rPr>
        <w:t xml:space="preserve"> = −</w:t>
      </w:r>
      <w:r w:rsidRPr="001E59F1">
        <w:rPr>
          <w:rFonts w:ascii="Cambria Math" w:hAnsi="Cambria Math" w:cs="Cambria Math"/>
          <w:sz w:val="24"/>
          <w:szCs w:val="24"/>
        </w:rPr>
        <w:t>𝛿</w:t>
      </w:r>
      <w:proofErr w:type="spellStart"/>
      <w:r w:rsidRPr="001E59F1">
        <w:rPr>
          <w:rFonts w:ascii="Times New Roman" w:hAnsi="Times New Roman" w:cs="Times New Roman"/>
          <w:sz w:val="24"/>
          <w:szCs w:val="24"/>
        </w:rPr>
        <w:t>ij</w:t>
      </w:r>
      <w:proofErr w:type="spellEnd"/>
      <w:r w:rsidRPr="001E59F1">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Yij</m:t>
            </m:r>
          </m:num>
          <m:den>
            <m:r>
              <w:rPr>
                <w:rFonts w:ascii="Cambria Math" w:hAnsi="Cambria Math" w:cs="Times New Roman"/>
                <w:sz w:val="24"/>
                <w:szCs w:val="24"/>
              </w:rPr>
              <m:t>Wi</m:t>
            </m:r>
          </m:den>
        </m:f>
      </m:oMath>
      <w:r w:rsidRPr="001E59F1">
        <w:rPr>
          <w:rFonts w:ascii="Times New Roman" w:eastAsiaTheme="minorEastAsia" w:hAnsi="Times New Roman" w:cs="Times New Roman"/>
          <w:sz w:val="24"/>
          <w:szCs w:val="24"/>
        </w:rPr>
        <w:t xml:space="preserve"> – </w:t>
      </w:r>
      <w:proofErr w:type="spellStart"/>
      <w:r w:rsidRPr="001E59F1">
        <w:rPr>
          <w:rFonts w:ascii="Times New Roman" w:hAnsi="Times New Roman" w:cs="Times New Roman"/>
          <w:sz w:val="24"/>
          <w:szCs w:val="24"/>
        </w:rPr>
        <w:t>Wj</w:t>
      </w:r>
      <w:proofErr w:type="spellEnd"/>
    </w:p>
    <w:p w14:paraId="4CA61327" w14:textId="77777777" w:rsidR="004D7AE2" w:rsidRPr="004D7AE2" w:rsidRDefault="004D7AE2" w:rsidP="00EB19DA">
      <w:pPr>
        <w:pStyle w:val="ListParagraph"/>
        <w:spacing w:after="0" w:line="240" w:lineRule="auto"/>
        <w:ind w:firstLine="425"/>
        <w:rPr>
          <w:rFonts w:ascii="Times New Roman" w:hAnsi="Times New Roman" w:cs="Times New Roman"/>
          <w:sz w:val="24"/>
          <w:szCs w:val="24"/>
          <w:lang w:val="en-ID"/>
        </w:rPr>
      </w:pPr>
      <w:r w:rsidRPr="004D7AE2">
        <w:rPr>
          <w:rFonts w:ascii="Times New Roman" w:hAnsi="Times New Roman" w:cs="Times New Roman"/>
          <w:b/>
          <w:bCs/>
          <w:sz w:val="24"/>
          <w:szCs w:val="24"/>
          <w:lang w:val="en-ID"/>
        </w:rPr>
        <w:t>e*ᵢⱼ</w:t>
      </w:r>
      <w:r w:rsidRPr="004D7AE2">
        <w:rPr>
          <w:rFonts w:ascii="Times New Roman" w:hAnsi="Times New Roman" w:cs="Times New Roman"/>
          <w:sz w:val="24"/>
          <w:szCs w:val="24"/>
          <w:lang w:val="en-ID"/>
        </w:rPr>
        <w:t xml:space="preserve"> = cross-price elasticity</w:t>
      </w:r>
      <w:r w:rsidRPr="004D7AE2">
        <w:rPr>
          <w:rFonts w:ascii="Times New Roman" w:hAnsi="Times New Roman" w:cs="Times New Roman"/>
          <w:sz w:val="24"/>
          <w:szCs w:val="24"/>
          <w:lang w:val="en-ID"/>
        </w:rPr>
        <w:br/>
      </w:r>
      <w:r w:rsidRPr="004D7AE2">
        <w:rPr>
          <w:rFonts w:ascii="Times New Roman" w:hAnsi="Times New Roman" w:cs="Times New Roman"/>
          <w:b/>
          <w:bCs/>
          <w:sz w:val="24"/>
          <w:szCs w:val="24"/>
          <w:lang w:val="en-ID"/>
        </w:rPr>
        <w:t>γᵢⱼ</w:t>
      </w:r>
      <w:r w:rsidRPr="004D7AE2">
        <w:rPr>
          <w:rFonts w:ascii="Times New Roman" w:hAnsi="Times New Roman" w:cs="Times New Roman"/>
          <w:sz w:val="24"/>
          <w:szCs w:val="24"/>
          <w:lang w:val="en-ID"/>
        </w:rPr>
        <w:t xml:space="preserve"> = price parameter of areca nut in market </w:t>
      </w:r>
      <w:r w:rsidRPr="004D7AE2">
        <w:rPr>
          <w:rFonts w:ascii="Times New Roman" w:hAnsi="Times New Roman" w:cs="Times New Roman"/>
          <w:i/>
          <w:iCs/>
          <w:sz w:val="24"/>
          <w:szCs w:val="24"/>
          <w:lang w:val="en-ID"/>
        </w:rPr>
        <w:t>j</w:t>
      </w:r>
      <w:r w:rsidRPr="004D7AE2">
        <w:rPr>
          <w:rFonts w:ascii="Times New Roman" w:hAnsi="Times New Roman" w:cs="Times New Roman"/>
          <w:sz w:val="24"/>
          <w:szCs w:val="24"/>
          <w:lang w:val="en-ID"/>
        </w:rPr>
        <w:br/>
      </w:r>
      <w:r w:rsidRPr="004D7AE2">
        <w:rPr>
          <w:rFonts w:ascii="Times New Roman" w:hAnsi="Times New Roman" w:cs="Times New Roman"/>
          <w:b/>
          <w:bCs/>
          <w:sz w:val="24"/>
          <w:szCs w:val="24"/>
          <w:lang w:val="en-ID"/>
        </w:rPr>
        <w:t>Wᵢ</w:t>
      </w:r>
      <w:r w:rsidRPr="004D7AE2">
        <w:rPr>
          <w:rFonts w:ascii="Times New Roman" w:hAnsi="Times New Roman" w:cs="Times New Roman"/>
          <w:sz w:val="24"/>
          <w:szCs w:val="24"/>
          <w:lang w:val="en-ID"/>
        </w:rPr>
        <w:t xml:space="preserve"> = market share of areca nut from country </w:t>
      </w:r>
      <w:proofErr w:type="spellStart"/>
      <w:r w:rsidRPr="004D7AE2">
        <w:rPr>
          <w:rFonts w:ascii="Times New Roman" w:hAnsi="Times New Roman" w:cs="Times New Roman"/>
          <w:i/>
          <w:iCs/>
          <w:sz w:val="24"/>
          <w:szCs w:val="24"/>
          <w:lang w:val="en-ID"/>
        </w:rPr>
        <w:t>i</w:t>
      </w:r>
      <w:proofErr w:type="spellEnd"/>
      <w:r w:rsidRPr="004D7AE2">
        <w:rPr>
          <w:rFonts w:ascii="Times New Roman" w:hAnsi="Times New Roman" w:cs="Times New Roman"/>
          <w:sz w:val="24"/>
          <w:szCs w:val="24"/>
          <w:lang w:val="en-ID"/>
        </w:rPr>
        <w:br/>
      </w:r>
      <w:r w:rsidRPr="004D7AE2">
        <w:rPr>
          <w:rFonts w:ascii="Times New Roman" w:hAnsi="Times New Roman" w:cs="Times New Roman"/>
          <w:b/>
          <w:bCs/>
          <w:sz w:val="24"/>
          <w:szCs w:val="24"/>
          <w:lang w:val="en-ID"/>
        </w:rPr>
        <w:t>Wⱼ</w:t>
      </w:r>
      <w:r w:rsidRPr="004D7AE2">
        <w:rPr>
          <w:rFonts w:ascii="Times New Roman" w:hAnsi="Times New Roman" w:cs="Times New Roman"/>
          <w:sz w:val="24"/>
          <w:szCs w:val="24"/>
          <w:lang w:val="en-ID"/>
        </w:rPr>
        <w:t xml:space="preserve"> = market share of areca nut from country </w:t>
      </w:r>
      <w:r w:rsidRPr="004D7AE2">
        <w:rPr>
          <w:rFonts w:ascii="Times New Roman" w:hAnsi="Times New Roman" w:cs="Times New Roman"/>
          <w:i/>
          <w:iCs/>
          <w:sz w:val="24"/>
          <w:szCs w:val="24"/>
          <w:lang w:val="en-ID"/>
        </w:rPr>
        <w:t>j</w:t>
      </w:r>
      <w:r w:rsidRPr="004D7AE2">
        <w:rPr>
          <w:rFonts w:ascii="Times New Roman" w:hAnsi="Times New Roman" w:cs="Times New Roman"/>
          <w:sz w:val="24"/>
          <w:szCs w:val="24"/>
          <w:lang w:val="en-ID"/>
        </w:rPr>
        <w:br/>
      </w:r>
      <w:r w:rsidRPr="004D7AE2">
        <w:rPr>
          <w:rFonts w:ascii="Times New Roman" w:hAnsi="Times New Roman" w:cs="Times New Roman"/>
          <w:b/>
          <w:bCs/>
          <w:sz w:val="24"/>
          <w:szCs w:val="24"/>
          <w:lang w:val="en-ID"/>
        </w:rPr>
        <w:t>δ</w:t>
      </w:r>
      <w:r w:rsidRPr="004D7AE2">
        <w:rPr>
          <w:rFonts w:ascii="Times New Roman" w:hAnsi="Times New Roman" w:cs="Times New Roman"/>
          <w:sz w:val="24"/>
          <w:szCs w:val="24"/>
          <w:lang w:val="en-ID"/>
        </w:rPr>
        <w:t xml:space="preserve"> is the Kronecker delta, where </w:t>
      </w:r>
      <w:r w:rsidRPr="004D7AE2">
        <w:rPr>
          <w:rFonts w:ascii="Times New Roman" w:hAnsi="Times New Roman" w:cs="Times New Roman"/>
          <w:b/>
          <w:bCs/>
          <w:sz w:val="24"/>
          <w:szCs w:val="24"/>
          <w:lang w:val="en-ID"/>
        </w:rPr>
        <w:t>δ = 1</w:t>
      </w:r>
      <w:r w:rsidRPr="004D7AE2">
        <w:rPr>
          <w:rFonts w:ascii="Times New Roman" w:hAnsi="Times New Roman" w:cs="Times New Roman"/>
          <w:sz w:val="24"/>
          <w:szCs w:val="24"/>
          <w:lang w:val="en-ID"/>
        </w:rPr>
        <w:t xml:space="preserve"> if </w:t>
      </w:r>
      <w:proofErr w:type="spellStart"/>
      <w:r w:rsidRPr="004D7AE2">
        <w:rPr>
          <w:rFonts w:ascii="Times New Roman" w:hAnsi="Times New Roman" w:cs="Times New Roman"/>
          <w:i/>
          <w:iCs/>
          <w:sz w:val="24"/>
          <w:szCs w:val="24"/>
          <w:lang w:val="en-ID"/>
        </w:rPr>
        <w:t>i</w:t>
      </w:r>
      <w:proofErr w:type="spellEnd"/>
      <w:r w:rsidRPr="004D7AE2">
        <w:rPr>
          <w:rFonts w:ascii="Times New Roman" w:hAnsi="Times New Roman" w:cs="Times New Roman"/>
          <w:i/>
          <w:iCs/>
          <w:sz w:val="24"/>
          <w:szCs w:val="24"/>
          <w:lang w:val="en-ID"/>
        </w:rPr>
        <w:t xml:space="preserve"> = j</w:t>
      </w:r>
      <w:r w:rsidRPr="004D7AE2">
        <w:rPr>
          <w:rFonts w:ascii="Times New Roman" w:hAnsi="Times New Roman" w:cs="Times New Roman"/>
          <w:sz w:val="24"/>
          <w:szCs w:val="24"/>
          <w:lang w:val="en-ID"/>
        </w:rPr>
        <w:t xml:space="preserve">, and </w:t>
      </w:r>
      <w:r w:rsidRPr="004D7AE2">
        <w:rPr>
          <w:rFonts w:ascii="Times New Roman" w:hAnsi="Times New Roman" w:cs="Times New Roman"/>
          <w:b/>
          <w:bCs/>
          <w:sz w:val="24"/>
          <w:szCs w:val="24"/>
          <w:lang w:val="en-ID"/>
        </w:rPr>
        <w:t>δ = 0</w:t>
      </w:r>
      <w:r w:rsidRPr="004D7AE2">
        <w:rPr>
          <w:rFonts w:ascii="Times New Roman" w:hAnsi="Times New Roman" w:cs="Times New Roman"/>
          <w:sz w:val="24"/>
          <w:szCs w:val="24"/>
          <w:lang w:val="en-ID"/>
        </w:rPr>
        <w:t xml:space="preserve"> if </w:t>
      </w:r>
      <w:proofErr w:type="spellStart"/>
      <w:r w:rsidRPr="004D7AE2">
        <w:rPr>
          <w:rFonts w:ascii="Times New Roman" w:hAnsi="Times New Roman" w:cs="Times New Roman"/>
          <w:i/>
          <w:iCs/>
          <w:sz w:val="24"/>
          <w:szCs w:val="24"/>
          <w:lang w:val="en-ID"/>
        </w:rPr>
        <w:t>i</w:t>
      </w:r>
      <w:proofErr w:type="spellEnd"/>
      <w:r w:rsidRPr="004D7AE2">
        <w:rPr>
          <w:rFonts w:ascii="Times New Roman" w:hAnsi="Times New Roman" w:cs="Times New Roman"/>
          <w:i/>
          <w:iCs/>
          <w:sz w:val="24"/>
          <w:szCs w:val="24"/>
          <w:lang w:val="en-ID"/>
        </w:rPr>
        <w:t xml:space="preserve"> ≠ j</w:t>
      </w:r>
    </w:p>
    <w:p w14:paraId="36834ADD" w14:textId="03C32053" w:rsidR="00547B7F" w:rsidRDefault="004D7AE2" w:rsidP="00EB19DA">
      <w:pPr>
        <w:pStyle w:val="ListParagraph"/>
        <w:spacing w:after="0" w:line="240" w:lineRule="auto"/>
        <w:ind w:left="709" w:firstLine="425"/>
        <w:rPr>
          <w:rFonts w:ascii="Times New Roman" w:hAnsi="Times New Roman" w:cs="Times New Roman"/>
          <w:b/>
          <w:bCs/>
          <w:sz w:val="24"/>
          <w:szCs w:val="24"/>
          <w:lang w:val="en-ID"/>
        </w:rPr>
      </w:pPr>
      <w:r w:rsidRPr="004D7AE2">
        <w:rPr>
          <w:rFonts w:ascii="Times New Roman" w:hAnsi="Times New Roman" w:cs="Times New Roman"/>
          <w:sz w:val="24"/>
          <w:szCs w:val="24"/>
          <w:lang w:val="en-ID"/>
        </w:rPr>
        <w:t>The classification of cross-price elasticity values is as follows:</w:t>
      </w:r>
    </w:p>
    <w:p w14:paraId="6BE08319" w14:textId="1E54203D" w:rsidR="00547B7F" w:rsidRPr="00547B7F" w:rsidRDefault="004D7AE2" w:rsidP="00EB19DA">
      <w:pPr>
        <w:pStyle w:val="ListParagraph"/>
        <w:numPr>
          <w:ilvl w:val="0"/>
          <w:numId w:val="15"/>
        </w:numPr>
        <w:spacing w:after="0" w:line="240" w:lineRule="auto"/>
        <w:ind w:firstLine="425"/>
        <w:rPr>
          <w:rFonts w:ascii="Times New Roman" w:hAnsi="Times New Roman" w:cs="Times New Roman"/>
          <w:sz w:val="24"/>
          <w:szCs w:val="24"/>
          <w:lang w:val="en-ID"/>
        </w:rPr>
      </w:pPr>
      <w:r w:rsidRPr="004D7AE2">
        <w:rPr>
          <w:rFonts w:ascii="Times New Roman" w:hAnsi="Times New Roman" w:cs="Times New Roman"/>
          <w:sz w:val="24"/>
          <w:szCs w:val="24"/>
          <w:lang w:val="en-ID"/>
        </w:rPr>
        <w:t>Eₓᵧ &gt; 0 indicates a substitute relationship, meaning the two products can replace each other.</w:t>
      </w:r>
    </w:p>
    <w:p w14:paraId="098EF050" w14:textId="71A8EF57" w:rsidR="00B2108B" w:rsidRPr="00942D32" w:rsidRDefault="004D7AE2" w:rsidP="00EB19DA">
      <w:pPr>
        <w:pStyle w:val="ListParagraph"/>
        <w:numPr>
          <w:ilvl w:val="0"/>
          <w:numId w:val="15"/>
        </w:numPr>
        <w:spacing w:after="0" w:line="240" w:lineRule="auto"/>
        <w:ind w:firstLine="425"/>
        <w:rPr>
          <w:rFonts w:ascii="Times New Roman" w:hAnsi="Times New Roman" w:cs="Times New Roman"/>
          <w:sz w:val="24"/>
          <w:szCs w:val="24"/>
          <w:lang w:val="en-ID"/>
        </w:rPr>
      </w:pPr>
      <w:r w:rsidRPr="004D7AE2">
        <w:rPr>
          <w:rFonts w:ascii="Times New Roman" w:hAnsi="Times New Roman" w:cs="Times New Roman"/>
          <w:sz w:val="24"/>
          <w:szCs w:val="24"/>
          <w:lang w:val="en-ID"/>
        </w:rPr>
        <w:t>Eₓᵧ &lt; 0 indicates a complementary relationship, meaning the products are used together or support each other.</w:t>
      </w:r>
    </w:p>
    <w:p w14:paraId="006B1D33" w14:textId="17912807" w:rsidR="00881EDF" w:rsidRPr="001E59F1" w:rsidRDefault="00881EDF" w:rsidP="00EB19DA">
      <w:pPr>
        <w:pStyle w:val="ListParagraph"/>
        <w:numPr>
          <w:ilvl w:val="0"/>
          <w:numId w:val="13"/>
        </w:numPr>
        <w:spacing w:after="0" w:line="240" w:lineRule="auto"/>
        <w:ind w:firstLine="425"/>
        <w:rPr>
          <w:rFonts w:ascii="Times New Roman" w:eastAsia="Times New Roman" w:hAnsi="Times New Roman" w:cs="Times New Roman"/>
          <w:sz w:val="24"/>
          <w:szCs w:val="24"/>
          <w:lang w:val="en-ID" w:eastAsia="en-ID"/>
        </w:rPr>
      </w:pPr>
      <w:r w:rsidRPr="001E59F1">
        <w:rPr>
          <w:rFonts w:ascii="Times New Roman" w:eastAsia="Times New Roman" w:hAnsi="Times New Roman" w:cs="Times New Roman"/>
          <w:sz w:val="24"/>
          <w:szCs w:val="24"/>
          <w:lang w:eastAsia="en-ID"/>
        </w:rPr>
        <w:t>Expenditure Elasticity</w:t>
      </w:r>
    </w:p>
    <w:p w14:paraId="36B964CB" w14:textId="69790F7A" w:rsidR="004D7AE2" w:rsidRPr="00547B7F" w:rsidRDefault="00E10E50" w:rsidP="00EB19DA">
      <w:pPr>
        <w:pStyle w:val="ListParagraph"/>
        <w:spacing w:after="0" w:line="240" w:lineRule="auto"/>
        <w:ind w:firstLine="425"/>
        <w:rPr>
          <w:rFonts w:ascii="Times New Roman" w:eastAsia="Times New Roman" w:hAnsi="Times New Roman" w:cs="Times New Roman"/>
          <w:sz w:val="24"/>
          <w:szCs w:val="24"/>
          <w:lang w:val="en-ID" w:eastAsia="en-ID"/>
        </w:rPr>
      </w:pPr>
      <w:r w:rsidRPr="001E59F1">
        <w:rPr>
          <w:rFonts w:ascii="Times New Roman" w:eastAsia="Times New Roman" w:hAnsi="Times New Roman" w:cs="Times New Roman"/>
          <w:sz w:val="24"/>
          <w:szCs w:val="24"/>
          <w:lang w:eastAsia="en-ID"/>
        </w:rPr>
        <w:t xml:space="preserve">Expenditure elasticity </w:t>
      </w:r>
      <w:r w:rsidRPr="001E59F1">
        <w:rPr>
          <w:rFonts w:ascii="Times New Roman" w:eastAsia="Times New Roman" w:hAnsi="Times New Roman" w:cs="Times New Roman"/>
          <w:sz w:val="24"/>
          <w:szCs w:val="24"/>
          <w:lang w:val="en-ID" w:eastAsia="en-ID"/>
        </w:rPr>
        <w:t>measures how sensitive the quantity demanded of a product is to changes in consumer income. It is calculated as the percentage change in quantity demanded divided by the percentage change in income (</w:t>
      </w:r>
      <w:r w:rsidRPr="00271E25">
        <w:rPr>
          <w:rFonts w:ascii="Times New Roman" w:eastAsia="Times New Roman" w:hAnsi="Times New Roman" w:cs="Times New Roman"/>
          <w:color w:val="2F5496" w:themeColor="accent5" w:themeShade="BF"/>
          <w:sz w:val="24"/>
          <w:szCs w:val="24"/>
          <w:lang w:val="en-ID" w:eastAsia="en-ID"/>
        </w:rPr>
        <w:t>Baye &amp; Prince, 2022</w:t>
      </w:r>
      <w:r w:rsidRPr="001E59F1">
        <w:rPr>
          <w:rFonts w:ascii="Times New Roman" w:eastAsia="Times New Roman" w:hAnsi="Times New Roman" w:cs="Times New Roman"/>
          <w:sz w:val="24"/>
          <w:szCs w:val="24"/>
          <w:lang w:val="en-ID" w:eastAsia="en-ID"/>
        </w:rPr>
        <w:t>).</w:t>
      </w:r>
    </w:p>
    <w:p w14:paraId="01ECA789" w14:textId="77777777" w:rsidR="00881EDF" w:rsidRPr="001E59F1" w:rsidRDefault="00881EDF" w:rsidP="00EB19DA">
      <w:pPr>
        <w:pStyle w:val="ListParagraph"/>
        <w:spacing w:after="0" w:line="240" w:lineRule="auto"/>
        <w:ind w:firstLine="425"/>
        <w:rPr>
          <w:rFonts w:ascii="Times New Roman" w:hAnsi="Times New Roman" w:cs="Times New Roman"/>
          <w:sz w:val="24"/>
          <w:szCs w:val="24"/>
        </w:rPr>
      </w:pPr>
      <w:proofErr w:type="spellStart"/>
      <w:r w:rsidRPr="001E59F1">
        <w:rPr>
          <w:rFonts w:ascii="Times New Roman" w:hAnsi="Times New Roman" w:cs="Times New Roman"/>
          <w:sz w:val="24"/>
          <w:szCs w:val="24"/>
        </w:rPr>
        <w:t>ƞi</w:t>
      </w:r>
      <w:proofErr w:type="spellEnd"/>
      <w:r w:rsidRPr="001E59F1">
        <w:rPr>
          <w:rFonts w:ascii="Times New Roman" w:hAnsi="Times New Roman" w:cs="Times New Roman"/>
          <w:sz w:val="24"/>
          <w:szCs w:val="24"/>
        </w:rPr>
        <w:t xml:space="preserve"> = 1 + </w:t>
      </w:r>
      <m:oMath>
        <m:f>
          <m:fPr>
            <m:ctrlPr>
              <w:rPr>
                <w:rFonts w:ascii="Cambria Math" w:hAnsi="Cambria Math" w:cs="Times New Roman"/>
                <w:i/>
                <w:sz w:val="24"/>
                <w:szCs w:val="24"/>
              </w:rPr>
            </m:ctrlPr>
          </m:fPr>
          <m:num>
            <m:r>
              <m:rPr>
                <m:sty m:val="p"/>
              </m:rPr>
              <w:rPr>
                <w:rFonts w:ascii="Cambria Math" w:hAnsi="Cambria Math" w:cs="Times New Roman"/>
                <w:sz w:val="24"/>
                <w:szCs w:val="24"/>
              </w:rPr>
              <m:t>βi</m:t>
            </m:r>
          </m:num>
          <m:den>
            <m:r>
              <w:rPr>
                <w:rFonts w:ascii="Cambria Math" w:hAnsi="Cambria Math" w:cs="Times New Roman"/>
                <w:sz w:val="24"/>
                <w:szCs w:val="24"/>
              </w:rPr>
              <m:t>Wi</m:t>
            </m:r>
          </m:den>
        </m:f>
      </m:oMath>
    </w:p>
    <w:p w14:paraId="2DC026A1" w14:textId="77777777" w:rsidR="00E10E50" w:rsidRPr="00E10E50" w:rsidRDefault="00E10E50" w:rsidP="00EB19DA">
      <w:pPr>
        <w:spacing w:after="0"/>
        <w:ind w:left="709" w:firstLine="425"/>
        <w:rPr>
          <w:sz w:val="24"/>
          <w:szCs w:val="24"/>
          <w:lang w:val="en-ID"/>
        </w:rPr>
      </w:pPr>
      <w:r w:rsidRPr="00E10E50">
        <w:rPr>
          <w:sz w:val="24"/>
          <w:szCs w:val="24"/>
          <w:lang w:val="en-ID"/>
        </w:rPr>
        <w:lastRenderedPageBreak/>
        <w:t>Ƞᵢ = income elasticity</w:t>
      </w:r>
      <w:r w:rsidRPr="00E10E50">
        <w:rPr>
          <w:sz w:val="24"/>
          <w:szCs w:val="24"/>
          <w:lang w:val="en-ID"/>
        </w:rPr>
        <w:br/>
        <w:t>βᵢ = total export value of essential oil in market j</w:t>
      </w:r>
      <w:r w:rsidRPr="00E10E50">
        <w:rPr>
          <w:sz w:val="24"/>
          <w:szCs w:val="24"/>
          <w:lang w:val="en-ID"/>
        </w:rPr>
        <w:br/>
        <w:t xml:space="preserve">Wᵢ = market share of country </w:t>
      </w:r>
      <w:proofErr w:type="spellStart"/>
      <w:r w:rsidRPr="00E10E50">
        <w:rPr>
          <w:sz w:val="24"/>
          <w:szCs w:val="24"/>
          <w:lang w:val="en-ID"/>
        </w:rPr>
        <w:t>i</w:t>
      </w:r>
      <w:proofErr w:type="spellEnd"/>
    </w:p>
    <w:p w14:paraId="1C5F7E96" w14:textId="77777777" w:rsidR="00547B7F" w:rsidRPr="001D3C57" w:rsidRDefault="00E10E50" w:rsidP="00EB19DA">
      <w:pPr>
        <w:spacing w:after="0"/>
        <w:ind w:left="709" w:firstLine="425"/>
        <w:rPr>
          <w:sz w:val="24"/>
          <w:szCs w:val="24"/>
          <w:lang w:val="en-ID"/>
        </w:rPr>
      </w:pPr>
      <w:r w:rsidRPr="00E10E50">
        <w:rPr>
          <w:sz w:val="24"/>
          <w:szCs w:val="24"/>
          <w:lang w:val="en-ID"/>
        </w:rPr>
        <w:t>Income elasticity values are interpreted as follows:</w:t>
      </w:r>
    </w:p>
    <w:p w14:paraId="3E04DDE9" w14:textId="52772FD5" w:rsidR="00B726D6" w:rsidRPr="001D3C57" w:rsidRDefault="00E10E50" w:rsidP="00EB19DA">
      <w:pPr>
        <w:pStyle w:val="ListParagraph"/>
        <w:numPr>
          <w:ilvl w:val="0"/>
          <w:numId w:val="18"/>
        </w:numPr>
        <w:spacing w:after="0"/>
        <w:ind w:firstLine="425"/>
        <w:rPr>
          <w:rFonts w:ascii="Times New Roman" w:hAnsi="Times New Roman" w:cs="Times New Roman"/>
          <w:sz w:val="24"/>
          <w:szCs w:val="24"/>
          <w:lang w:val="en-ID"/>
        </w:rPr>
      </w:pPr>
      <w:r w:rsidRPr="001D3C57">
        <w:rPr>
          <w:rFonts w:ascii="Times New Roman" w:hAnsi="Times New Roman" w:cs="Times New Roman"/>
          <w:b/>
          <w:bCs/>
          <w:sz w:val="24"/>
          <w:szCs w:val="24"/>
          <w:lang w:val="en-ID"/>
        </w:rPr>
        <w:t>EI &gt; 0</w:t>
      </w:r>
      <w:r w:rsidRPr="001D3C57">
        <w:rPr>
          <w:rFonts w:ascii="Times New Roman" w:hAnsi="Times New Roman" w:cs="Times New Roman"/>
          <w:sz w:val="24"/>
          <w:szCs w:val="24"/>
          <w:lang w:val="en-ID"/>
        </w:rPr>
        <w:t xml:space="preserve"> indicates a </w:t>
      </w:r>
      <w:r w:rsidRPr="001D3C57">
        <w:rPr>
          <w:rFonts w:ascii="Times New Roman" w:hAnsi="Times New Roman" w:cs="Times New Roman"/>
          <w:b/>
          <w:bCs/>
          <w:sz w:val="24"/>
          <w:szCs w:val="24"/>
          <w:lang w:val="en-ID"/>
        </w:rPr>
        <w:t>normal good</w:t>
      </w:r>
      <w:r w:rsidRPr="001D3C57">
        <w:rPr>
          <w:rFonts w:ascii="Times New Roman" w:hAnsi="Times New Roman" w:cs="Times New Roman"/>
          <w:sz w:val="24"/>
          <w:szCs w:val="24"/>
          <w:lang w:val="en-ID"/>
        </w:rPr>
        <w:t>, meaning demand increases as consumer income rises.</w:t>
      </w:r>
    </w:p>
    <w:p w14:paraId="0C3A4745" w14:textId="26A87EA3" w:rsidR="00322B20" w:rsidRPr="001D3C57" w:rsidRDefault="00E10E50" w:rsidP="00EB19DA">
      <w:pPr>
        <w:pStyle w:val="ListParagraph"/>
        <w:numPr>
          <w:ilvl w:val="0"/>
          <w:numId w:val="18"/>
        </w:numPr>
        <w:spacing w:after="0"/>
        <w:ind w:firstLine="425"/>
        <w:rPr>
          <w:rFonts w:ascii="Times New Roman" w:hAnsi="Times New Roman" w:cs="Times New Roman"/>
          <w:sz w:val="24"/>
          <w:szCs w:val="24"/>
          <w:lang w:val="en-ID"/>
        </w:rPr>
      </w:pPr>
      <w:r w:rsidRPr="001D3C57">
        <w:rPr>
          <w:rFonts w:ascii="Times New Roman" w:hAnsi="Times New Roman" w:cs="Times New Roman"/>
          <w:b/>
          <w:bCs/>
          <w:sz w:val="24"/>
          <w:szCs w:val="24"/>
          <w:lang w:val="en-ID"/>
        </w:rPr>
        <w:t>EI &lt; 0</w:t>
      </w:r>
      <w:r w:rsidRPr="001D3C57">
        <w:rPr>
          <w:rFonts w:ascii="Times New Roman" w:hAnsi="Times New Roman" w:cs="Times New Roman"/>
          <w:sz w:val="24"/>
          <w:szCs w:val="24"/>
          <w:lang w:val="en-ID"/>
        </w:rPr>
        <w:t xml:space="preserve"> indicates an </w:t>
      </w:r>
      <w:r w:rsidRPr="001D3C57">
        <w:rPr>
          <w:rFonts w:ascii="Times New Roman" w:hAnsi="Times New Roman" w:cs="Times New Roman"/>
          <w:b/>
          <w:bCs/>
          <w:sz w:val="24"/>
          <w:szCs w:val="24"/>
          <w:lang w:val="en-ID"/>
        </w:rPr>
        <w:t>inferior good</w:t>
      </w:r>
      <w:r w:rsidRPr="001D3C57">
        <w:rPr>
          <w:rFonts w:ascii="Times New Roman" w:hAnsi="Times New Roman" w:cs="Times New Roman"/>
          <w:sz w:val="24"/>
          <w:szCs w:val="24"/>
          <w:lang w:val="en-ID"/>
        </w:rPr>
        <w:t>, where demand decreases when income increases.</w:t>
      </w:r>
    </w:p>
    <w:p w14:paraId="6BCBE5E2" w14:textId="61203E33" w:rsidR="001A173D" w:rsidRDefault="00737336" w:rsidP="001803E5">
      <w:pPr>
        <w:pStyle w:val="Bullet"/>
        <w:spacing w:before="240" w:after="0" w:line="240" w:lineRule="auto"/>
        <w:ind w:left="0" w:firstLine="0"/>
        <w:rPr>
          <w:b/>
          <w:szCs w:val="24"/>
        </w:rPr>
      </w:pPr>
      <w:r w:rsidRPr="001E59F1">
        <w:rPr>
          <w:b/>
          <w:szCs w:val="24"/>
        </w:rPr>
        <w:t xml:space="preserve">RESULTS AND DISCUSSION </w:t>
      </w:r>
    </w:p>
    <w:p w14:paraId="10209A98" w14:textId="664EB4D7" w:rsidR="001D3C57" w:rsidRDefault="009D4DE8" w:rsidP="00EB19DA">
      <w:pPr>
        <w:spacing w:after="0"/>
        <w:ind w:firstLine="425"/>
        <w:jc w:val="both"/>
        <w:rPr>
          <w:sz w:val="24"/>
          <w:szCs w:val="24"/>
        </w:rPr>
      </w:pPr>
      <w:r w:rsidRPr="009D4DE8">
        <w:rPr>
          <w:sz w:val="24"/>
          <w:szCs w:val="24"/>
        </w:rPr>
        <w:t xml:space="preserve">Indonesian </w:t>
      </w:r>
      <w:r w:rsidR="00587A7C">
        <w:rPr>
          <w:sz w:val="24"/>
          <w:szCs w:val="24"/>
        </w:rPr>
        <w:t>areca</w:t>
      </w:r>
      <w:r w:rsidRPr="009D4DE8">
        <w:rPr>
          <w:sz w:val="24"/>
          <w:szCs w:val="24"/>
        </w:rPr>
        <w:t xml:space="preserve"> nut products are known for their superior characteristics, including uniform seed size, high tannin content, and low contamination levels, which are competitive advantages in the export market (</w:t>
      </w:r>
      <w:r w:rsidRPr="009D4DE8">
        <w:rPr>
          <w:color w:val="2F5496" w:themeColor="accent5" w:themeShade="BF"/>
          <w:sz w:val="24"/>
          <w:szCs w:val="24"/>
        </w:rPr>
        <w:t>Irwandi and Purwanti 2024</w:t>
      </w:r>
      <w:r w:rsidRPr="009D4DE8">
        <w:rPr>
          <w:sz w:val="24"/>
          <w:szCs w:val="24"/>
        </w:rPr>
        <w:t xml:space="preserve">). An efficient distribution system in production centers such as Jambi, West Sumatra, and Aceh, supported by easy access to export ports, also facilitates trade routes for this commodity. Despite its high competitiveness, Indonesia faces obstacles in exporting </w:t>
      </w:r>
      <w:r w:rsidR="00587A7C">
        <w:rPr>
          <w:sz w:val="24"/>
          <w:szCs w:val="24"/>
        </w:rPr>
        <w:t>areca</w:t>
      </w:r>
      <w:r w:rsidRPr="009D4DE8">
        <w:rPr>
          <w:sz w:val="24"/>
          <w:szCs w:val="24"/>
        </w:rPr>
        <w:t xml:space="preserve"> nut, particularly to India, its largest export market. India implements strong protectionist policies to protect its </w:t>
      </w:r>
      <w:r w:rsidR="00587A7C">
        <w:rPr>
          <w:sz w:val="24"/>
          <w:szCs w:val="24"/>
        </w:rPr>
        <w:t>areca</w:t>
      </w:r>
      <w:r w:rsidRPr="009D4DE8">
        <w:rPr>
          <w:sz w:val="24"/>
          <w:szCs w:val="24"/>
        </w:rPr>
        <w:t xml:space="preserve"> nut farmers, making Indonesian </w:t>
      </w:r>
      <w:r w:rsidR="00587A7C">
        <w:rPr>
          <w:sz w:val="24"/>
          <w:szCs w:val="24"/>
        </w:rPr>
        <w:t>areca</w:t>
      </w:r>
      <w:r w:rsidRPr="009D4DE8">
        <w:rPr>
          <w:sz w:val="24"/>
          <w:szCs w:val="24"/>
        </w:rPr>
        <w:t xml:space="preserve"> nut exports to that country still difficult (</w:t>
      </w:r>
      <w:proofErr w:type="spellStart"/>
      <w:r w:rsidRPr="009D4DE8">
        <w:rPr>
          <w:color w:val="2F5496" w:themeColor="accent5" w:themeShade="BF"/>
          <w:sz w:val="24"/>
          <w:szCs w:val="24"/>
        </w:rPr>
        <w:t>Antaranews</w:t>
      </w:r>
      <w:proofErr w:type="spellEnd"/>
      <w:r w:rsidRPr="009D4DE8">
        <w:rPr>
          <w:color w:val="2F5496" w:themeColor="accent5" w:themeShade="BF"/>
          <w:sz w:val="24"/>
          <w:szCs w:val="24"/>
        </w:rPr>
        <w:t xml:space="preserve"> 2023</w:t>
      </w:r>
      <w:r w:rsidRPr="009D4DE8">
        <w:rPr>
          <w:sz w:val="24"/>
          <w:szCs w:val="24"/>
        </w:rPr>
        <w:t xml:space="preserve">). In addition, the implementation of a minimum import price (MPI) policy in India, as well as high import duties in countries such as India, Iran, and the UAE, also pose major challenges to Indonesian </w:t>
      </w:r>
      <w:r w:rsidR="00587A7C">
        <w:rPr>
          <w:sz w:val="24"/>
          <w:szCs w:val="24"/>
        </w:rPr>
        <w:t>areca</w:t>
      </w:r>
      <w:r w:rsidRPr="009D4DE8">
        <w:rPr>
          <w:sz w:val="24"/>
          <w:szCs w:val="24"/>
        </w:rPr>
        <w:t xml:space="preserve"> nut exports. These obstacles put pressure on the competitiveness of Indonesian </w:t>
      </w:r>
      <w:r w:rsidR="00587A7C">
        <w:rPr>
          <w:sz w:val="24"/>
          <w:szCs w:val="24"/>
        </w:rPr>
        <w:t>areca</w:t>
      </w:r>
      <w:r w:rsidRPr="009D4DE8">
        <w:rPr>
          <w:sz w:val="24"/>
          <w:szCs w:val="24"/>
        </w:rPr>
        <w:t xml:space="preserve"> nut in the international market, although Indonesian </w:t>
      </w:r>
      <w:r w:rsidR="00587A7C">
        <w:rPr>
          <w:sz w:val="24"/>
          <w:szCs w:val="24"/>
        </w:rPr>
        <w:t>areca</w:t>
      </w:r>
      <w:r w:rsidRPr="009D4DE8">
        <w:rPr>
          <w:sz w:val="24"/>
          <w:szCs w:val="24"/>
        </w:rPr>
        <w:t xml:space="preserve"> nut products remain superior in terms of quality and distribution (</w:t>
      </w:r>
      <w:r w:rsidRPr="009D4DE8">
        <w:rPr>
          <w:color w:val="2F5496" w:themeColor="accent5" w:themeShade="BF"/>
          <w:sz w:val="24"/>
          <w:szCs w:val="24"/>
        </w:rPr>
        <w:t>Irwandi and Purwanti 2024</w:t>
      </w:r>
      <w:r w:rsidRPr="009D4DE8">
        <w:rPr>
          <w:sz w:val="24"/>
          <w:szCs w:val="24"/>
        </w:rPr>
        <w:t>).</w:t>
      </w:r>
    </w:p>
    <w:p w14:paraId="4AC956AA" w14:textId="46F1D02A" w:rsidR="00117BBE" w:rsidRDefault="00117BBE" w:rsidP="00EB19DA">
      <w:pPr>
        <w:spacing w:after="0"/>
        <w:ind w:firstLine="425"/>
        <w:jc w:val="both"/>
        <w:rPr>
          <w:sz w:val="24"/>
          <w:szCs w:val="24"/>
        </w:rPr>
      </w:pPr>
      <w:r w:rsidRPr="00117BBE">
        <w:rPr>
          <w:sz w:val="24"/>
          <w:szCs w:val="24"/>
        </w:rPr>
        <w:t xml:space="preserve">Indonesia has significant potential as one of the world's leading </w:t>
      </w:r>
      <w:r w:rsidR="00587A7C">
        <w:rPr>
          <w:sz w:val="24"/>
          <w:szCs w:val="24"/>
        </w:rPr>
        <w:t>areca</w:t>
      </w:r>
      <w:r w:rsidRPr="00117BBE">
        <w:rPr>
          <w:sz w:val="24"/>
          <w:szCs w:val="24"/>
        </w:rPr>
        <w:t xml:space="preserve"> nut producers, although there is still room for optimization to increase competitiveness through innovation, product diversification, and expanding international market access. In line with research by </w:t>
      </w:r>
      <w:proofErr w:type="spellStart"/>
      <w:r w:rsidRPr="00342370">
        <w:rPr>
          <w:color w:val="2F5496" w:themeColor="accent5" w:themeShade="BF"/>
          <w:sz w:val="24"/>
          <w:szCs w:val="24"/>
        </w:rPr>
        <w:t>Pohan</w:t>
      </w:r>
      <w:proofErr w:type="spellEnd"/>
      <w:r w:rsidRPr="00342370">
        <w:rPr>
          <w:color w:val="2F5496" w:themeColor="accent5" w:themeShade="BF"/>
          <w:sz w:val="24"/>
          <w:szCs w:val="24"/>
        </w:rPr>
        <w:t xml:space="preserve"> et al. (2023)</w:t>
      </w:r>
      <w:r w:rsidRPr="00117BBE">
        <w:rPr>
          <w:sz w:val="24"/>
          <w:szCs w:val="24"/>
        </w:rPr>
        <w:t xml:space="preserve">, which highlights the competitiveness of spice commodities such as ginger, strategies for improving product quality, distribution efficiency, and market diversification are crucial for maintaining and enhancing the competitiveness of Indonesian </w:t>
      </w:r>
      <w:r w:rsidR="00587A7C">
        <w:rPr>
          <w:sz w:val="24"/>
          <w:szCs w:val="24"/>
        </w:rPr>
        <w:t>areca</w:t>
      </w:r>
      <w:r w:rsidRPr="00117BBE">
        <w:rPr>
          <w:sz w:val="24"/>
          <w:szCs w:val="24"/>
        </w:rPr>
        <w:t xml:space="preserve"> nuts. Increasing productivity through expanding planting areas and improving post-harvest technology can also contribute to the competitiveness of Indonesian </w:t>
      </w:r>
      <w:r w:rsidR="00587A7C">
        <w:rPr>
          <w:sz w:val="24"/>
          <w:szCs w:val="24"/>
        </w:rPr>
        <w:t>areca</w:t>
      </w:r>
      <w:r w:rsidRPr="00117BBE">
        <w:rPr>
          <w:sz w:val="24"/>
          <w:szCs w:val="24"/>
        </w:rPr>
        <w:t xml:space="preserve"> nuts in the international market. External factors, such as international trade policies and international market dynamics, play a crucial role in determining Indonesia's export competitiveness (</w:t>
      </w:r>
      <w:r w:rsidRPr="00117BBE">
        <w:rPr>
          <w:color w:val="2F5496" w:themeColor="accent5" w:themeShade="BF"/>
          <w:sz w:val="24"/>
          <w:szCs w:val="24"/>
        </w:rPr>
        <w:t>Anwar et al. 2020</w:t>
      </w:r>
      <w:r w:rsidRPr="00117BBE">
        <w:rPr>
          <w:sz w:val="24"/>
          <w:szCs w:val="24"/>
        </w:rPr>
        <w:t>). Indonesia needs to pay attention to and adjust its trade policies and market strategies to remain competitive internationally. By understanding changes in policies and market trends, Indonesia can optimize its export potential and strengthen its position in the international market.</w:t>
      </w:r>
    </w:p>
    <w:p w14:paraId="2350227C" w14:textId="5A56697E" w:rsidR="00B15F4B" w:rsidRDefault="00B15F4B" w:rsidP="00EB19DA">
      <w:pPr>
        <w:spacing w:after="0"/>
        <w:ind w:firstLine="425"/>
        <w:jc w:val="both"/>
        <w:rPr>
          <w:sz w:val="24"/>
          <w:szCs w:val="24"/>
        </w:rPr>
      </w:pPr>
      <w:r w:rsidRPr="00B15F4B">
        <w:rPr>
          <w:sz w:val="24"/>
          <w:szCs w:val="24"/>
        </w:rPr>
        <w:t>The results of the analysis using the AIDS model identify the level of competition between the world's areca nut exporting countries, namely Indonesia, Thailand, Myanmar, and India. Areca nut as one of the ingredients of the cosmetic and pharmaceutical industries (</w:t>
      </w:r>
      <w:proofErr w:type="spellStart"/>
      <w:r w:rsidRPr="00B15F4B">
        <w:rPr>
          <w:color w:val="2F5496" w:themeColor="accent5" w:themeShade="BF"/>
          <w:sz w:val="24"/>
          <w:szCs w:val="24"/>
        </w:rPr>
        <w:t>Sandhiutami</w:t>
      </w:r>
      <w:proofErr w:type="spellEnd"/>
      <w:r w:rsidRPr="00B15F4B">
        <w:rPr>
          <w:color w:val="2F5496" w:themeColor="accent5" w:themeShade="BF"/>
          <w:sz w:val="24"/>
          <w:szCs w:val="24"/>
        </w:rPr>
        <w:t xml:space="preserve"> et al. 2023</w:t>
      </w:r>
      <w:r w:rsidRPr="00B15F4B">
        <w:rPr>
          <w:sz w:val="24"/>
          <w:szCs w:val="24"/>
        </w:rPr>
        <w:t>) plays an important role in meeting the global market. The content of active ingredients in areca nut such as alkaloids and tannins that make it have antibacterial and anti-inflammatory properties (</w:t>
      </w:r>
      <w:proofErr w:type="spellStart"/>
      <w:r w:rsidRPr="00B15F4B">
        <w:rPr>
          <w:color w:val="2F5496" w:themeColor="accent5" w:themeShade="BF"/>
          <w:sz w:val="24"/>
          <w:szCs w:val="24"/>
        </w:rPr>
        <w:t>Sandhiutami</w:t>
      </w:r>
      <w:proofErr w:type="spellEnd"/>
      <w:r w:rsidRPr="00B15F4B">
        <w:rPr>
          <w:color w:val="2F5496" w:themeColor="accent5" w:themeShade="BF"/>
          <w:sz w:val="24"/>
          <w:szCs w:val="24"/>
        </w:rPr>
        <w:t xml:space="preserve"> et al. 2023</w:t>
      </w:r>
      <w:r w:rsidRPr="00B15F4B">
        <w:rPr>
          <w:sz w:val="24"/>
          <w:szCs w:val="24"/>
        </w:rPr>
        <w:t>). Due to the growing demand for areca nut in the global market, which creates fierce competition between countries in the main exporting markets. The results of the AIDS model analysis in the table for Indonesia, Thailand, Myanmar, and India at a significance level of 1 percent (α = 0.01) indicate that the independent variables together can explain the related variables, namely the market share of Indonesia, Thailand, India, and Myanmar in the global market.</w:t>
      </w:r>
    </w:p>
    <w:p w14:paraId="2882CD63" w14:textId="77777777" w:rsidR="00942D32" w:rsidRDefault="00942D32" w:rsidP="00EB19DA">
      <w:pPr>
        <w:spacing w:after="0"/>
        <w:ind w:firstLine="425"/>
        <w:jc w:val="both"/>
        <w:rPr>
          <w:b/>
          <w:bCs/>
          <w:sz w:val="24"/>
          <w:szCs w:val="24"/>
        </w:rPr>
      </w:pPr>
    </w:p>
    <w:p w14:paraId="5E46D1CC" w14:textId="77777777" w:rsidR="00942D32" w:rsidRDefault="00942D32" w:rsidP="00EB19DA">
      <w:pPr>
        <w:spacing w:after="0"/>
        <w:ind w:firstLine="425"/>
        <w:jc w:val="both"/>
        <w:rPr>
          <w:b/>
          <w:bCs/>
          <w:sz w:val="24"/>
          <w:szCs w:val="24"/>
        </w:rPr>
      </w:pPr>
    </w:p>
    <w:p w14:paraId="4019F824" w14:textId="3D0E079C" w:rsidR="00B15F4B" w:rsidRPr="00EC09E0" w:rsidRDefault="00A53A89" w:rsidP="001803E5">
      <w:pPr>
        <w:spacing w:after="200"/>
        <w:jc w:val="both"/>
        <w:rPr>
          <w:b/>
          <w:bCs/>
        </w:rPr>
      </w:pPr>
      <w:r w:rsidRPr="00EC09E0">
        <w:rPr>
          <w:b/>
          <w:bCs/>
        </w:rPr>
        <w:lastRenderedPageBreak/>
        <w:t xml:space="preserve">Table 1 </w:t>
      </w:r>
      <w:r w:rsidR="00B15F4B" w:rsidRPr="00EC09E0">
        <w:rPr>
          <w:b/>
          <w:bCs/>
        </w:rPr>
        <w:t>Coefficient values and P-value of market share of demand for Indonesian areca nut exports in the global market</w:t>
      </w:r>
    </w:p>
    <w:tbl>
      <w:tblPr>
        <w:tblW w:w="9072" w:type="dxa"/>
        <w:tblLook w:val="04A0" w:firstRow="1" w:lastRow="0" w:firstColumn="1" w:lastColumn="0" w:noHBand="0" w:noVBand="1"/>
      </w:tblPr>
      <w:tblGrid>
        <w:gridCol w:w="2835"/>
        <w:gridCol w:w="2977"/>
        <w:gridCol w:w="3260"/>
      </w:tblGrid>
      <w:tr w:rsidR="00B15F4B" w:rsidRPr="007324D6" w14:paraId="78DEF774" w14:textId="77777777" w:rsidTr="006E640C">
        <w:trPr>
          <w:trHeight w:val="310"/>
        </w:trPr>
        <w:tc>
          <w:tcPr>
            <w:tcW w:w="2835" w:type="dxa"/>
            <w:tcBorders>
              <w:top w:val="single" w:sz="4" w:space="0" w:color="auto"/>
              <w:left w:val="nil"/>
              <w:bottom w:val="single" w:sz="4" w:space="0" w:color="auto"/>
              <w:right w:val="nil"/>
            </w:tcBorders>
            <w:shd w:val="clear" w:color="auto" w:fill="auto"/>
            <w:noWrap/>
            <w:vAlign w:val="center"/>
            <w:hideMark/>
          </w:tcPr>
          <w:p w14:paraId="3C57529D" w14:textId="768D345A" w:rsidR="00B15F4B" w:rsidRPr="007324D6" w:rsidRDefault="00B15F4B" w:rsidP="00EB19DA">
            <w:pPr>
              <w:spacing w:after="0"/>
              <w:ind w:firstLine="425"/>
              <w:jc w:val="center"/>
              <w:rPr>
                <w:rFonts w:eastAsia="Times New Roman"/>
                <w:color w:val="000000"/>
                <w:sz w:val="20"/>
                <w:szCs w:val="20"/>
                <w:lang w:val="en-ID" w:eastAsia="en-ID"/>
              </w:rPr>
            </w:pPr>
            <w:r w:rsidRPr="00B15F4B">
              <w:rPr>
                <w:rFonts w:eastAsia="Times New Roman"/>
                <w:color w:val="000000"/>
                <w:sz w:val="20"/>
                <w:szCs w:val="20"/>
                <w:lang w:val="en-ID" w:eastAsia="en-ID"/>
              </w:rPr>
              <w:t>Equality</w:t>
            </w:r>
          </w:p>
        </w:tc>
        <w:tc>
          <w:tcPr>
            <w:tcW w:w="2977" w:type="dxa"/>
            <w:tcBorders>
              <w:top w:val="single" w:sz="4" w:space="0" w:color="auto"/>
              <w:left w:val="nil"/>
              <w:bottom w:val="single" w:sz="4" w:space="0" w:color="auto"/>
              <w:right w:val="nil"/>
            </w:tcBorders>
            <w:shd w:val="clear" w:color="auto" w:fill="auto"/>
            <w:noWrap/>
            <w:vAlign w:val="center"/>
            <w:hideMark/>
          </w:tcPr>
          <w:p w14:paraId="7D091B5C" w14:textId="77777777" w:rsidR="00B15F4B" w:rsidRPr="007324D6" w:rsidRDefault="00B15F4B" w:rsidP="00EB19DA">
            <w:pPr>
              <w:spacing w:after="0"/>
              <w:ind w:firstLine="425"/>
              <w:jc w:val="center"/>
              <w:rPr>
                <w:rFonts w:eastAsia="Times New Roman"/>
                <w:color w:val="000000"/>
                <w:sz w:val="20"/>
                <w:szCs w:val="20"/>
                <w:lang w:val="en-ID" w:eastAsia="en-ID"/>
              </w:rPr>
            </w:pPr>
            <w:r w:rsidRPr="007324D6">
              <w:rPr>
                <w:rFonts w:eastAsia="Times New Roman"/>
                <w:color w:val="000000"/>
                <w:sz w:val="20"/>
                <w:szCs w:val="20"/>
                <w:lang w:val="en-ID" w:eastAsia="en-ID"/>
              </w:rPr>
              <w:t>R-</w:t>
            </w:r>
            <w:r w:rsidRPr="007324D6">
              <w:rPr>
                <w:rFonts w:eastAsia="Times New Roman"/>
                <w:i/>
                <w:iCs/>
                <w:color w:val="000000"/>
                <w:sz w:val="20"/>
                <w:szCs w:val="20"/>
                <w:lang w:val="en-ID" w:eastAsia="en-ID"/>
              </w:rPr>
              <w:t>Squared</w:t>
            </w:r>
          </w:p>
        </w:tc>
        <w:tc>
          <w:tcPr>
            <w:tcW w:w="3260" w:type="dxa"/>
            <w:tcBorders>
              <w:top w:val="single" w:sz="4" w:space="0" w:color="auto"/>
              <w:left w:val="nil"/>
              <w:bottom w:val="single" w:sz="4" w:space="0" w:color="auto"/>
              <w:right w:val="nil"/>
            </w:tcBorders>
            <w:shd w:val="clear" w:color="auto" w:fill="auto"/>
            <w:noWrap/>
            <w:vAlign w:val="center"/>
            <w:hideMark/>
          </w:tcPr>
          <w:p w14:paraId="616B9FD1" w14:textId="77777777" w:rsidR="00B15F4B" w:rsidRPr="007324D6" w:rsidRDefault="00B15F4B" w:rsidP="00EB19DA">
            <w:pPr>
              <w:spacing w:after="0"/>
              <w:ind w:firstLine="425"/>
              <w:jc w:val="center"/>
              <w:rPr>
                <w:rFonts w:eastAsia="Times New Roman"/>
                <w:color w:val="000000"/>
                <w:sz w:val="20"/>
                <w:szCs w:val="20"/>
                <w:lang w:val="en-ID" w:eastAsia="en-ID"/>
              </w:rPr>
            </w:pPr>
            <w:r w:rsidRPr="007324D6">
              <w:rPr>
                <w:rFonts w:eastAsia="Times New Roman"/>
                <w:color w:val="000000"/>
                <w:sz w:val="20"/>
                <w:szCs w:val="20"/>
                <w:lang w:val="en-ID" w:eastAsia="en-ID"/>
              </w:rPr>
              <w:t>P-</w:t>
            </w:r>
            <w:r w:rsidRPr="007324D6">
              <w:rPr>
                <w:rFonts w:eastAsia="Times New Roman"/>
                <w:i/>
                <w:iCs/>
                <w:color w:val="000000"/>
                <w:sz w:val="20"/>
                <w:szCs w:val="20"/>
                <w:lang w:val="en-ID" w:eastAsia="en-ID"/>
              </w:rPr>
              <w:t>Value</w:t>
            </w:r>
          </w:p>
        </w:tc>
      </w:tr>
      <w:tr w:rsidR="00B15F4B" w:rsidRPr="007324D6" w14:paraId="7854834C" w14:textId="77777777" w:rsidTr="006E640C">
        <w:trPr>
          <w:trHeight w:val="310"/>
        </w:trPr>
        <w:tc>
          <w:tcPr>
            <w:tcW w:w="2835" w:type="dxa"/>
            <w:tcBorders>
              <w:top w:val="nil"/>
              <w:left w:val="nil"/>
              <w:bottom w:val="nil"/>
              <w:right w:val="nil"/>
            </w:tcBorders>
            <w:shd w:val="clear" w:color="auto" w:fill="auto"/>
            <w:noWrap/>
            <w:vAlign w:val="bottom"/>
            <w:hideMark/>
          </w:tcPr>
          <w:p w14:paraId="1CC817E0" w14:textId="3A08F84F" w:rsidR="00B15F4B" w:rsidRPr="007324D6" w:rsidRDefault="00B15F4B" w:rsidP="00EB19DA">
            <w:pPr>
              <w:spacing w:after="0"/>
              <w:ind w:firstLine="425"/>
              <w:rPr>
                <w:rFonts w:eastAsia="Times New Roman"/>
                <w:color w:val="000000"/>
                <w:sz w:val="20"/>
                <w:szCs w:val="20"/>
                <w:lang w:val="en-ID" w:eastAsia="en-ID"/>
              </w:rPr>
            </w:pPr>
            <w:r w:rsidRPr="007324D6">
              <w:rPr>
                <w:rFonts w:eastAsia="Times New Roman"/>
                <w:color w:val="000000"/>
                <w:sz w:val="20"/>
                <w:szCs w:val="20"/>
                <w:lang w:val="en-ID" w:eastAsia="en-ID"/>
              </w:rPr>
              <w:t>Indonesia</w:t>
            </w:r>
            <w:r>
              <w:rPr>
                <w:rFonts w:eastAsia="Times New Roman"/>
                <w:color w:val="000000"/>
                <w:sz w:val="20"/>
                <w:szCs w:val="20"/>
                <w:lang w:val="en-ID" w:eastAsia="en-ID"/>
              </w:rPr>
              <w:t>n</w:t>
            </w:r>
          </w:p>
        </w:tc>
        <w:tc>
          <w:tcPr>
            <w:tcW w:w="2977" w:type="dxa"/>
            <w:tcBorders>
              <w:top w:val="nil"/>
              <w:left w:val="nil"/>
              <w:bottom w:val="nil"/>
              <w:right w:val="nil"/>
            </w:tcBorders>
            <w:shd w:val="clear" w:color="auto" w:fill="auto"/>
            <w:noWrap/>
            <w:vAlign w:val="bottom"/>
            <w:hideMark/>
          </w:tcPr>
          <w:p w14:paraId="4348B43B" w14:textId="77777777" w:rsidR="00B15F4B" w:rsidRPr="007324D6" w:rsidRDefault="00B15F4B" w:rsidP="00EB19DA">
            <w:pPr>
              <w:spacing w:after="0"/>
              <w:ind w:firstLine="425"/>
              <w:jc w:val="center"/>
              <w:rPr>
                <w:rFonts w:eastAsia="Times New Roman"/>
                <w:color w:val="000000"/>
                <w:sz w:val="20"/>
                <w:szCs w:val="20"/>
                <w:lang w:val="en-ID" w:eastAsia="en-ID"/>
              </w:rPr>
            </w:pPr>
            <w:r w:rsidRPr="007324D6">
              <w:rPr>
                <w:rFonts w:eastAsia="Times New Roman"/>
                <w:color w:val="000000"/>
                <w:sz w:val="20"/>
                <w:szCs w:val="20"/>
                <w:lang w:val="en-ID" w:eastAsia="en-ID"/>
              </w:rPr>
              <w:t>0,3116</w:t>
            </w:r>
          </w:p>
        </w:tc>
        <w:tc>
          <w:tcPr>
            <w:tcW w:w="3260" w:type="dxa"/>
            <w:tcBorders>
              <w:top w:val="nil"/>
              <w:left w:val="nil"/>
              <w:bottom w:val="nil"/>
              <w:right w:val="nil"/>
            </w:tcBorders>
            <w:shd w:val="clear" w:color="auto" w:fill="auto"/>
            <w:noWrap/>
            <w:vAlign w:val="bottom"/>
            <w:hideMark/>
          </w:tcPr>
          <w:p w14:paraId="57371CB0" w14:textId="77777777" w:rsidR="00B15F4B" w:rsidRPr="007324D6" w:rsidRDefault="00B15F4B" w:rsidP="00EB19DA">
            <w:pPr>
              <w:spacing w:after="0"/>
              <w:ind w:firstLine="425"/>
              <w:jc w:val="center"/>
              <w:rPr>
                <w:rFonts w:eastAsia="Times New Roman"/>
                <w:color w:val="000000"/>
                <w:sz w:val="20"/>
                <w:szCs w:val="20"/>
                <w:lang w:val="en-ID" w:eastAsia="en-ID"/>
              </w:rPr>
            </w:pPr>
            <w:r w:rsidRPr="007324D6">
              <w:rPr>
                <w:rFonts w:eastAsia="Times New Roman"/>
                <w:color w:val="000000"/>
                <w:sz w:val="20"/>
                <w:szCs w:val="20"/>
                <w:lang w:val="en-ID" w:eastAsia="en-ID"/>
              </w:rPr>
              <w:t>0,0000</w:t>
            </w:r>
          </w:p>
        </w:tc>
      </w:tr>
      <w:tr w:rsidR="00B15F4B" w:rsidRPr="007324D6" w14:paraId="4A19EE8C" w14:textId="77777777" w:rsidTr="006E640C">
        <w:trPr>
          <w:trHeight w:val="310"/>
        </w:trPr>
        <w:tc>
          <w:tcPr>
            <w:tcW w:w="2835" w:type="dxa"/>
            <w:tcBorders>
              <w:top w:val="nil"/>
              <w:left w:val="nil"/>
              <w:bottom w:val="nil"/>
              <w:right w:val="nil"/>
            </w:tcBorders>
            <w:shd w:val="clear" w:color="auto" w:fill="auto"/>
            <w:noWrap/>
            <w:vAlign w:val="bottom"/>
            <w:hideMark/>
          </w:tcPr>
          <w:p w14:paraId="5D3DE202" w14:textId="77777777" w:rsidR="00B15F4B" w:rsidRPr="007324D6" w:rsidRDefault="00B15F4B" w:rsidP="00EB19DA">
            <w:pPr>
              <w:spacing w:after="0"/>
              <w:ind w:firstLine="425"/>
              <w:rPr>
                <w:rFonts w:eastAsia="Times New Roman"/>
                <w:color w:val="000000"/>
                <w:sz w:val="20"/>
                <w:szCs w:val="20"/>
                <w:lang w:val="en-ID" w:eastAsia="en-ID"/>
              </w:rPr>
            </w:pPr>
            <w:r w:rsidRPr="007324D6">
              <w:rPr>
                <w:rFonts w:eastAsia="Times New Roman"/>
                <w:color w:val="000000"/>
                <w:sz w:val="20"/>
                <w:szCs w:val="20"/>
                <w:lang w:val="en-ID" w:eastAsia="en-ID"/>
              </w:rPr>
              <w:t>Thailand</w:t>
            </w:r>
          </w:p>
        </w:tc>
        <w:tc>
          <w:tcPr>
            <w:tcW w:w="2977" w:type="dxa"/>
            <w:tcBorders>
              <w:top w:val="nil"/>
              <w:left w:val="nil"/>
              <w:bottom w:val="nil"/>
              <w:right w:val="nil"/>
            </w:tcBorders>
            <w:shd w:val="clear" w:color="auto" w:fill="auto"/>
            <w:noWrap/>
            <w:vAlign w:val="bottom"/>
            <w:hideMark/>
          </w:tcPr>
          <w:p w14:paraId="2A145A0B" w14:textId="77777777" w:rsidR="00B15F4B" w:rsidRPr="007324D6" w:rsidRDefault="00B15F4B" w:rsidP="00EB19DA">
            <w:pPr>
              <w:spacing w:after="0"/>
              <w:ind w:firstLine="425"/>
              <w:jc w:val="center"/>
              <w:rPr>
                <w:rFonts w:eastAsia="Times New Roman"/>
                <w:color w:val="000000"/>
                <w:sz w:val="20"/>
                <w:szCs w:val="20"/>
                <w:lang w:val="en-ID" w:eastAsia="en-ID"/>
              </w:rPr>
            </w:pPr>
            <w:r w:rsidRPr="007324D6">
              <w:rPr>
                <w:rFonts w:eastAsia="Times New Roman"/>
                <w:color w:val="000000"/>
                <w:sz w:val="20"/>
                <w:szCs w:val="20"/>
                <w:lang w:val="en-ID" w:eastAsia="en-ID"/>
              </w:rPr>
              <w:t>0,1027</w:t>
            </w:r>
          </w:p>
        </w:tc>
        <w:tc>
          <w:tcPr>
            <w:tcW w:w="3260" w:type="dxa"/>
            <w:tcBorders>
              <w:top w:val="nil"/>
              <w:left w:val="nil"/>
              <w:bottom w:val="nil"/>
              <w:right w:val="nil"/>
            </w:tcBorders>
            <w:shd w:val="clear" w:color="auto" w:fill="auto"/>
            <w:noWrap/>
            <w:vAlign w:val="bottom"/>
            <w:hideMark/>
          </w:tcPr>
          <w:p w14:paraId="69CF2060" w14:textId="77777777" w:rsidR="00B15F4B" w:rsidRPr="007324D6" w:rsidRDefault="00B15F4B" w:rsidP="00EB19DA">
            <w:pPr>
              <w:spacing w:after="0"/>
              <w:ind w:firstLine="425"/>
              <w:jc w:val="center"/>
              <w:rPr>
                <w:rFonts w:eastAsia="Times New Roman"/>
                <w:color w:val="000000"/>
                <w:sz w:val="20"/>
                <w:szCs w:val="20"/>
                <w:lang w:val="en-ID" w:eastAsia="en-ID"/>
              </w:rPr>
            </w:pPr>
            <w:r w:rsidRPr="007324D6">
              <w:rPr>
                <w:rFonts w:eastAsia="Times New Roman"/>
                <w:color w:val="000000"/>
                <w:sz w:val="20"/>
                <w:szCs w:val="20"/>
                <w:lang w:val="en-ID" w:eastAsia="en-ID"/>
              </w:rPr>
              <w:t>0,0043</w:t>
            </w:r>
          </w:p>
        </w:tc>
      </w:tr>
      <w:tr w:rsidR="00B15F4B" w:rsidRPr="007324D6" w14:paraId="4B275AEC" w14:textId="77777777" w:rsidTr="006E640C">
        <w:trPr>
          <w:trHeight w:val="310"/>
        </w:trPr>
        <w:tc>
          <w:tcPr>
            <w:tcW w:w="2835" w:type="dxa"/>
            <w:tcBorders>
              <w:top w:val="nil"/>
              <w:left w:val="nil"/>
              <w:bottom w:val="nil"/>
              <w:right w:val="nil"/>
            </w:tcBorders>
            <w:shd w:val="clear" w:color="auto" w:fill="auto"/>
            <w:noWrap/>
            <w:vAlign w:val="bottom"/>
            <w:hideMark/>
          </w:tcPr>
          <w:p w14:paraId="5FE14B5F" w14:textId="052AD415" w:rsidR="00B15F4B" w:rsidRPr="007324D6" w:rsidRDefault="00B15F4B" w:rsidP="00EB19DA">
            <w:pPr>
              <w:spacing w:after="0"/>
              <w:ind w:firstLine="425"/>
              <w:rPr>
                <w:rFonts w:eastAsia="Times New Roman"/>
                <w:color w:val="000000"/>
                <w:sz w:val="20"/>
                <w:szCs w:val="20"/>
                <w:lang w:val="en-ID" w:eastAsia="en-ID"/>
              </w:rPr>
            </w:pPr>
            <w:r w:rsidRPr="007324D6">
              <w:rPr>
                <w:rFonts w:eastAsia="Times New Roman"/>
                <w:color w:val="000000"/>
                <w:sz w:val="20"/>
                <w:szCs w:val="20"/>
                <w:lang w:val="en-ID" w:eastAsia="en-ID"/>
              </w:rPr>
              <w:t>India</w:t>
            </w:r>
            <w:r>
              <w:rPr>
                <w:rFonts w:eastAsia="Times New Roman"/>
                <w:color w:val="000000"/>
                <w:sz w:val="20"/>
                <w:szCs w:val="20"/>
                <w:lang w:val="en-ID" w:eastAsia="en-ID"/>
              </w:rPr>
              <w:t>n</w:t>
            </w:r>
          </w:p>
        </w:tc>
        <w:tc>
          <w:tcPr>
            <w:tcW w:w="2977" w:type="dxa"/>
            <w:tcBorders>
              <w:top w:val="nil"/>
              <w:left w:val="nil"/>
              <w:bottom w:val="nil"/>
              <w:right w:val="nil"/>
            </w:tcBorders>
            <w:shd w:val="clear" w:color="auto" w:fill="auto"/>
            <w:noWrap/>
            <w:vAlign w:val="bottom"/>
            <w:hideMark/>
          </w:tcPr>
          <w:p w14:paraId="61156589" w14:textId="77777777" w:rsidR="00B15F4B" w:rsidRPr="007324D6" w:rsidRDefault="00B15F4B" w:rsidP="00EB19DA">
            <w:pPr>
              <w:spacing w:after="0"/>
              <w:ind w:firstLine="425"/>
              <w:jc w:val="center"/>
              <w:rPr>
                <w:rFonts w:eastAsia="Times New Roman"/>
                <w:color w:val="000000"/>
                <w:sz w:val="20"/>
                <w:szCs w:val="20"/>
                <w:lang w:val="en-ID" w:eastAsia="en-ID"/>
              </w:rPr>
            </w:pPr>
            <w:r w:rsidRPr="007324D6">
              <w:rPr>
                <w:rFonts w:eastAsia="Times New Roman"/>
                <w:color w:val="000000"/>
                <w:sz w:val="20"/>
                <w:szCs w:val="20"/>
                <w:lang w:val="en-ID" w:eastAsia="en-ID"/>
              </w:rPr>
              <w:t>0,2134</w:t>
            </w:r>
          </w:p>
        </w:tc>
        <w:tc>
          <w:tcPr>
            <w:tcW w:w="3260" w:type="dxa"/>
            <w:tcBorders>
              <w:top w:val="nil"/>
              <w:left w:val="nil"/>
              <w:bottom w:val="nil"/>
              <w:right w:val="nil"/>
            </w:tcBorders>
            <w:shd w:val="clear" w:color="auto" w:fill="auto"/>
            <w:noWrap/>
            <w:vAlign w:val="bottom"/>
            <w:hideMark/>
          </w:tcPr>
          <w:p w14:paraId="0CE51370" w14:textId="77777777" w:rsidR="00B15F4B" w:rsidRPr="007324D6" w:rsidRDefault="00B15F4B" w:rsidP="00EB19DA">
            <w:pPr>
              <w:spacing w:after="0"/>
              <w:ind w:firstLine="425"/>
              <w:jc w:val="center"/>
              <w:rPr>
                <w:rFonts w:eastAsia="Times New Roman"/>
                <w:color w:val="000000"/>
                <w:sz w:val="20"/>
                <w:szCs w:val="20"/>
                <w:lang w:val="en-ID" w:eastAsia="en-ID"/>
              </w:rPr>
            </w:pPr>
            <w:r w:rsidRPr="007324D6">
              <w:rPr>
                <w:rFonts w:eastAsia="Times New Roman"/>
                <w:color w:val="000000"/>
                <w:sz w:val="20"/>
                <w:szCs w:val="20"/>
                <w:lang w:val="en-ID" w:eastAsia="en-ID"/>
              </w:rPr>
              <w:t>0,0000</w:t>
            </w:r>
          </w:p>
        </w:tc>
      </w:tr>
      <w:tr w:rsidR="00B15F4B" w:rsidRPr="007324D6" w14:paraId="65859F65" w14:textId="77777777" w:rsidTr="006E640C">
        <w:trPr>
          <w:trHeight w:val="310"/>
        </w:trPr>
        <w:tc>
          <w:tcPr>
            <w:tcW w:w="2835" w:type="dxa"/>
            <w:tcBorders>
              <w:top w:val="nil"/>
              <w:left w:val="nil"/>
              <w:bottom w:val="single" w:sz="4" w:space="0" w:color="auto"/>
              <w:right w:val="nil"/>
            </w:tcBorders>
            <w:shd w:val="clear" w:color="auto" w:fill="auto"/>
            <w:noWrap/>
            <w:vAlign w:val="bottom"/>
            <w:hideMark/>
          </w:tcPr>
          <w:p w14:paraId="3FD7E228" w14:textId="77777777" w:rsidR="00B15F4B" w:rsidRPr="007324D6" w:rsidRDefault="00B15F4B" w:rsidP="00EB19DA">
            <w:pPr>
              <w:spacing w:after="0"/>
              <w:ind w:firstLine="425"/>
              <w:rPr>
                <w:rFonts w:eastAsia="Times New Roman"/>
                <w:color w:val="000000"/>
                <w:sz w:val="20"/>
                <w:szCs w:val="20"/>
                <w:lang w:val="en-ID" w:eastAsia="en-ID"/>
              </w:rPr>
            </w:pPr>
            <w:r w:rsidRPr="007324D6">
              <w:rPr>
                <w:rFonts w:eastAsia="Times New Roman"/>
                <w:color w:val="000000"/>
                <w:sz w:val="20"/>
                <w:szCs w:val="20"/>
                <w:lang w:val="en-ID" w:eastAsia="en-ID"/>
              </w:rPr>
              <w:t>Myanmar</w:t>
            </w:r>
          </w:p>
        </w:tc>
        <w:tc>
          <w:tcPr>
            <w:tcW w:w="2977" w:type="dxa"/>
            <w:tcBorders>
              <w:top w:val="nil"/>
              <w:left w:val="nil"/>
              <w:bottom w:val="single" w:sz="4" w:space="0" w:color="auto"/>
              <w:right w:val="nil"/>
            </w:tcBorders>
            <w:shd w:val="clear" w:color="auto" w:fill="auto"/>
            <w:noWrap/>
            <w:vAlign w:val="bottom"/>
            <w:hideMark/>
          </w:tcPr>
          <w:p w14:paraId="580BEAE0" w14:textId="77777777" w:rsidR="00B15F4B" w:rsidRPr="007324D6" w:rsidRDefault="00B15F4B" w:rsidP="00EB19DA">
            <w:pPr>
              <w:spacing w:after="0"/>
              <w:ind w:firstLine="425"/>
              <w:jc w:val="center"/>
              <w:rPr>
                <w:rFonts w:eastAsia="Times New Roman"/>
                <w:color w:val="000000"/>
                <w:sz w:val="20"/>
                <w:szCs w:val="20"/>
                <w:lang w:val="en-ID" w:eastAsia="en-ID"/>
              </w:rPr>
            </w:pPr>
            <w:r w:rsidRPr="007324D6">
              <w:rPr>
                <w:rFonts w:eastAsia="Times New Roman"/>
                <w:color w:val="000000"/>
                <w:sz w:val="20"/>
                <w:szCs w:val="20"/>
                <w:lang w:val="en-ID" w:eastAsia="en-ID"/>
              </w:rPr>
              <w:t>0,3459</w:t>
            </w:r>
          </w:p>
        </w:tc>
        <w:tc>
          <w:tcPr>
            <w:tcW w:w="3260" w:type="dxa"/>
            <w:tcBorders>
              <w:top w:val="nil"/>
              <w:left w:val="nil"/>
              <w:bottom w:val="single" w:sz="4" w:space="0" w:color="auto"/>
              <w:right w:val="nil"/>
            </w:tcBorders>
            <w:shd w:val="clear" w:color="auto" w:fill="auto"/>
            <w:noWrap/>
            <w:vAlign w:val="bottom"/>
            <w:hideMark/>
          </w:tcPr>
          <w:p w14:paraId="5C3E851D" w14:textId="77777777" w:rsidR="00B15F4B" w:rsidRPr="007324D6" w:rsidRDefault="00B15F4B" w:rsidP="00EB19DA">
            <w:pPr>
              <w:spacing w:after="0"/>
              <w:ind w:firstLine="425"/>
              <w:jc w:val="center"/>
              <w:rPr>
                <w:rFonts w:eastAsia="Times New Roman"/>
                <w:color w:val="000000"/>
                <w:sz w:val="20"/>
                <w:szCs w:val="20"/>
                <w:lang w:val="en-ID" w:eastAsia="en-ID"/>
              </w:rPr>
            </w:pPr>
            <w:r w:rsidRPr="007324D6">
              <w:rPr>
                <w:rFonts w:eastAsia="Times New Roman"/>
                <w:color w:val="000000"/>
                <w:sz w:val="20"/>
                <w:szCs w:val="20"/>
                <w:lang w:val="en-ID" w:eastAsia="en-ID"/>
              </w:rPr>
              <w:t>0,0000</w:t>
            </w:r>
          </w:p>
        </w:tc>
      </w:tr>
    </w:tbl>
    <w:p w14:paraId="39DE3814" w14:textId="487EAD94" w:rsidR="00B15F4B" w:rsidRDefault="002B307A" w:rsidP="00EB19DA">
      <w:pPr>
        <w:spacing w:after="240"/>
        <w:ind w:firstLine="425"/>
        <w:jc w:val="both"/>
        <w:rPr>
          <w:sz w:val="24"/>
          <w:szCs w:val="24"/>
        </w:rPr>
      </w:pPr>
      <w:r w:rsidRPr="002B307A">
        <w:rPr>
          <w:sz w:val="24"/>
          <w:szCs w:val="24"/>
        </w:rPr>
        <w:t>Source: processed 2025</w:t>
      </w:r>
    </w:p>
    <w:p w14:paraId="3ED5EF24" w14:textId="08E11A71" w:rsidR="002B307A" w:rsidRDefault="002B307A" w:rsidP="00EB19DA">
      <w:pPr>
        <w:spacing w:after="0"/>
        <w:ind w:firstLine="425"/>
        <w:jc w:val="both"/>
        <w:rPr>
          <w:sz w:val="24"/>
          <w:szCs w:val="24"/>
        </w:rPr>
      </w:pPr>
      <w:r w:rsidRPr="002B307A">
        <w:rPr>
          <w:sz w:val="24"/>
          <w:szCs w:val="24"/>
        </w:rPr>
        <w:t xml:space="preserve">The R-squared values in Table </w:t>
      </w:r>
      <w:r w:rsidR="00A53A89">
        <w:rPr>
          <w:sz w:val="24"/>
          <w:szCs w:val="24"/>
        </w:rPr>
        <w:t>1</w:t>
      </w:r>
      <w:r w:rsidRPr="002B307A">
        <w:rPr>
          <w:sz w:val="24"/>
          <w:szCs w:val="24"/>
        </w:rPr>
        <w:t xml:space="preserve"> indicate that the proportion of variation in the share of </w:t>
      </w:r>
      <w:r w:rsidR="00587A7C">
        <w:rPr>
          <w:sz w:val="24"/>
          <w:szCs w:val="24"/>
        </w:rPr>
        <w:t>areca</w:t>
      </w:r>
      <w:r w:rsidRPr="002B307A">
        <w:rPr>
          <w:sz w:val="24"/>
          <w:szCs w:val="24"/>
        </w:rPr>
        <w:t xml:space="preserve"> nut exports in several countries can be partially explained by the independent variables in the model, while the remainder is influenced by other factors outside the model. For Indonesia, Thailand, India, and Myanmar, the R-squared values each indicate the contribution of the variables in the model to the variation in </w:t>
      </w:r>
      <w:r w:rsidR="00587A7C">
        <w:rPr>
          <w:sz w:val="24"/>
          <w:szCs w:val="24"/>
        </w:rPr>
        <w:t>areca</w:t>
      </w:r>
      <w:r w:rsidRPr="002B307A">
        <w:rPr>
          <w:sz w:val="24"/>
          <w:szCs w:val="24"/>
        </w:rPr>
        <w:t xml:space="preserve"> nut exports. Indonesia has an R-squared of 0.3116, meaning that approximately 31.16 percent of the variation in </w:t>
      </w:r>
      <w:r w:rsidR="00587A7C">
        <w:rPr>
          <w:sz w:val="24"/>
          <w:szCs w:val="24"/>
        </w:rPr>
        <w:t>areca</w:t>
      </w:r>
      <w:r w:rsidRPr="002B307A">
        <w:rPr>
          <w:sz w:val="24"/>
          <w:szCs w:val="24"/>
        </w:rPr>
        <w:t xml:space="preserve"> nut exports can be explained by factors in the model. This indicates that although the model is quite informative, most of the variation (68.84 percent) is influenced by external factors such as changes in trade policy, consumer preferences, or supply chain disruptions (</w:t>
      </w:r>
      <w:r w:rsidRPr="002B307A">
        <w:rPr>
          <w:color w:val="2F5496" w:themeColor="accent5" w:themeShade="BF"/>
          <w:sz w:val="24"/>
          <w:szCs w:val="24"/>
        </w:rPr>
        <w:t>Leamer &amp; Stern, 1970; Fuchs et al., 2014</w:t>
      </w:r>
      <w:r w:rsidRPr="002B307A">
        <w:rPr>
          <w:sz w:val="24"/>
          <w:szCs w:val="24"/>
        </w:rPr>
        <w:t>). Thailand has a lower R-squared value of 0.1027, indicating that only 10.27 percent of the variation in exports is explained by the variables in the model, and the remainder is likely influenced by other, more dominant variables. Meanwhile, Myanmar and India have R-squared values of 0.3459 and 0.2134 respectively, indicating that the model is more effective in explaining variations in Myanmar's areca nut exports than India's.</w:t>
      </w:r>
    </w:p>
    <w:p w14:paraId="47199753" w14:textId="54D3326D" w:rsidR="00B726D6" w:rsidRPr="00EC09E0" w:rsidRDefault="001D3C57" w:rsidP="001803E5">
      <w:pPr>
        <w:spacing w:after="200"/>
        <w:jc w:val="both"/>
        <w:rPr>
          <w:b/>
          <w:bCs/>
        </w:rPr>
      </w:pPr>
      <w:r w:rsidRPr="00EC09E0">
        <w:rPr>
          <w:b/>
          <w:bCs/>
        </w:rPr>
        <w:t xml:space="preserve">Table </w:t>
      </w:r>
      <w:r w:rsidR="00A53A89" w:rsidRPr="00EC09E0">
        <w:rPr>
          <w:b/>
          <w:bCs/>
        </w:rPr>
        <w:t>2</w:t>
      </w:r>
      <w:r w:rsidRPr="00EC09E0">
        <w:rPr>
          <w:b/>
          <w:bCs/>
        </w:rPr>
        <w:t xml:space="preserve">. </w:t>
      </w:r>
      <w:r w:rsidR="000E4D66" w:rsidRPr="00EC09E0">
        <w:rPr>
          <w:b/>
          <w:bCs/>
        </w:rPr>
        <w:t>Table Average value of the export market share of Indonesian, Thai, Indian and Myanmar areca nuts in the global market 2012 – 2024</w:t>
      </w:r>
    </w:p>
    <w:tbl>
      <w:tblPr>
        <w:tblW w:w="9072" w:type="dxa"/>
        <w:tblLook w:val="04A0" w:firstRow="1" w:lastRow="0" w:firstColumn="1" w:lastColumn="0" w:noHBand="0" w:noVBand="1"/>
      </w:tblPr>
      <w:tblGrid>
        <w:gridCol w:w="4536"/>
        <w:gridCol w:w="4536"/>
      </w:tblGrid>
      <w:tr w:rsidR="000E4D66" w:rsidRPr="001E59F1" w14:paraId="4BD86318" w14:textId="77777777" w:rsidTr="001D3C57">
        <w:trPr>
          <w:trHeight w:val="310"/>
        </w:trPr>
        <w:tc>
          <w:tcPr>
            <w:tcW w:w="9072" w:type="dxa"/>
            <w:gridSpan w:val="2"/>
            <w:tcBorders>
              <w:top w:val="single" w:sz="4" w:space="0" w:color="auto"/>
              <w:left w:val="nil"/>
              <w:bottom w:val="single" w:sz="4" w:space="0" w:color="auto"/>
              <w:right w:val="nil"/>
            </w:tcBorders>
            <w:shd w:val="clear" w:color="auto" w:fill="auto"/>
            <w:noWrap/>
            <w:vAlign w:val="center"/>
            <w:hideMark/>
          </w:tcPr>
          <w:p w14:paraId="34E838D0" w14:textId="7530B9D9" w:rsidR="000E4D66" w:rsidRPr="001E59F1" w:rsidRDefault="000E4D66" w:rsidP="00EB19DA">
            <w:pPr>
              <w:spacing w:after="0"/>
              <w:ind w:firstLine="425"/>
              <w:jc w:val="center"/>
              <w:rPr>
                <w:rFonts w:eastAsia="Times New Roman"/>
                <w:color w:val="000000"/>
                <w:sz w:val="24"/>
                <w:szCs w:val="24"/>
                <w:lang w:val="en-ID" w:eastAsia="en-ID"/>
              </w:rPr>
            </w:pPr>
            <w:proofErr w:type="spellStart"/>
            <w:r w:rsidRPr="001E59F1">
              <w:rPr>
                <w:rFonts w:eastAsia="Times New Roman"/>
                <w:color w:val="000000"/>
                <w:sz w:val="24"/>
                <w:szCs w:val="24"/>
                <w:lang w:val="en-ID" w:eastAsia="en-ID"/>
              </w:rPr>
              <w:t>Avarage</w:t>
            </w:r>
            <w:proofErr w:type="spellEnd"/>
            <w:r w:rsidRPr="001E59F1">
              <w:rPr>
                <w:rFonts w:eastAsia="Times New Roman"/>
                <w:color w:val="000000"/>
                <w:sz w:val="24"/>
                <w:szCs w:val="24"/>
                <w:lang w:val="en-ID" w:eastAsia="en-ID"/>
              </w:rPr>
              <w:t xml:space="preserve"> Value </w:t>
            </w:r>
            <w:proofErr w:type="gramStart"/>
            <w:r w:rsidRPr="001E59F1">
              <w:rPr>
                <w:rFonts w:eastAsia="Times New Roman"/>
                <w:color w:val="000000"/>
                <w:sz w:val="24"/>
                <w:szCs w:val="24"/>
                <w:lang w:val="en-ID" w:eastAsia="en-ID"/>
              </w:rPr>
              <w:t>Of</w:t>
            </w:r>
            <w:proofErr w:type="gramEnd"/>
            <w:r w:rsidRPr="001E59F1">
              <w:rPr>
                <w:rFonts w:eastAsia="Times New Roman"/>
                <w:color w:val="000000"/>
                <w:sz w:val="24"/>
                <w:szCs w:val="24"/>
                <w:lang w:val="en-ID" w:eastAsia="en-ID"/>
              </w:rPr>
              <w:t xml:space="preserve"> The Export Market Shere Areca Nut (%) </w:t>
            </w:r>
          </w:p>
        </w:tc>
      </w:tr>
      <w:tr w:rsidR="000E4D66" w:rsidRPr="001E59F1" w14:paraId="24EC5606" w14:textId="77777777" w:rsidTr="001D3C57">
        <w:trPr>
          <w:trHeight w:val="310"/>
        </w:trPr>
        <w:tc>
          <w:tcPr>
            <w:tcW w:w="4536" w:type="dxa"/>
            <w:tcBorders>
              <w:top w:val="nil"/>
              <w:left w:val="nil"/>
              <w:bottom w:val="single" w:sz="4" w:space="0" w:color="auto"/>
              <w:right w:val="nil"/>
            </w:tcBorders>
            <w:shd w:val="clear" w:color="auto" w:fill="auto"/>
            <w:noWrap/>
            <w:vAlign w:val="center"/>
            <w:hideMark/>
          </w:tcPr>
          <w:p w14:paraId="475E8043" w14:textId="56319EFE" w:rsidR="000E4D66" w:rsidRPr="001E59F1" w:rsidRDefault="000E4D66" w:rsidP="00EB19DA">
            <w:pPr>
              <w:spacing w:after="0"/>
              <w:ind w:firstLine="425"/>
              <w:jc w:val="center"/>
              <w:rPr>
                <w:rFonts w:eastAsia="Times New Roman"/>
                <w:color w:val="000000"/>
                <w:sz w:val="24"/>
                <w:szCs w:val="24"/>
                <w:lang w:val="en-ID" w:eastAsia="en-ID"/>
              </w:rPr>
            </w:pPr>
            <w:r w:rsidRPr="001E59F1">
              <w:rPr>
                <w:rFonts w:eastAsia="Times New Roman"/>
                <w:color w:val="000000"/>
                <w:sz w:val="24"/>
                <w:szCs w:val="24"/>
                <w:lang w:val="en-ID" w:eastAsia="en-ID"/>
              </w:rPr>
              <w:t>Export Market</w:t>
            </w:r>
          </w:p>
        </w:tc>
        <w:tc>
          <w:tcPr>
            <w:tcW w:w="4536" w:type="dxa"/>
            <w:tcBorders>
              <w:top w:val="nil"/>
              <w:left w:val="nil"/>
              <w:bottom w:val="single" w:sz="4" w:space="0" w:color="auto"/>
              <w:right w:val="nil"/>
            </w:tcBorders>
            <w:shd w:val="clear" w:color="auto" w:fill="auto"/>
            <w:noWrap/>
            <w:vAlign w:val="center"/>
            <w:hideMark/>
          </w:tcPr>
          <w:p w14:paraId="0F6B5D70" w14:textId="77777777" w:rsidR="000E4D66" w:rsidRPr="001E59F1" w:rsidRDefault="000E4D66" w:rsidP="00EB19DA">
            <w:pPr>
              <w:spacing w:after="0"/>
              <w:ind w:firstLine="425"/>
              <w:jc w:val="center"/>
              <w:rPr>
                <w:rFonts w:eastAsia="Times New Roman"/>
                <w:color w:val="000000"/>
                <w:sz w:val="24"/>
                <w:szCs w:val="24"/>
                <w:lang w:val="en-ID" w:eastAsia="en-ID"/>
              </w:rPr>
            </w:pPr>
            <w:proofErr w:type="spellStart"/>
            <w:r w:rsidRPr="001E59F1">
              <w:rPr>
                <w:rFonts w:eastAsia="Times New Roman"/>
                <w:color w:val="000000"/>
                <w:sz w:val="24"/>
                <w:szCs w:val="24"/>
                <w:lang w:val="en-ID" w:eastAsia="en-ID"/>
              </w:rPr>
              <w:t>Pangsa</w:t>
            </w:r>
            <w:proofErr w:type="spellEnd"/>
            <w:r w:rsidRPr="001E59F1">
              <w:rPr>
                <w:rFonts w:eastAsia="Times New Roman"/>
                <w:color w:val="000000"/>
                <w:sz w:val="24"/>
                <w:szCs w:val="24"/>
                <w:lang w:val="en-ID" w:eastAsia="en-ID"/>
              </w:rPr>
              <w:t xml:space="preserve"> Pasar</w:t>
            </w:r>
          </w:p>
        </w:tc>
      </w:tr>
      <w:tr w:rsidR="000E4D66" w:rsidRPr="001E59F1" w14:paraId="0483E30C" w14:textId="77777777" w:rsidTr="001D3C57">
        <w:trPr>
          <w:trHeight w:val="310"/>
        </w:trPr>
        <w:tc>
          <w:tcPr>
            <w:tcW w:w="4536" w:type="dxa"/>
            <w:tcBorders>
              <w:top w:val="nil"/>
              <w:left w:val="nil"/>
              <w:bottom w:val="nil"/>
              <w:right w:val="nil"/>
            </w:tcBorders>
            <w:shd w:val="clear" w:color="auto" w:fill="auto"/>
            <w:noWrap/>
            <w:vAlign w:val="center"/>
            <w:hideMark/>
          </w:tcPr>
          <w:p w14:paraId="19ACF0D6" w14:textId="48AD5954" w:rsidR="000E4D66" w:rsidRPr="001E59F1" w:rsidRDefault="000E4D66" w:rsidP="00EB19DA">
            <w:pPr>
              <w:spacing w:after="0"/>
              <w:ind w:firstLine="425"/>
              <w:rPr>
                <w:rFonts w:eastAsia="Times New Roman"/>
                <w:color w:val="000000"/>
                <w:sz w:val="24"/>
                <w:szCs w:val="24"/>
                <w:lang w:val="en-ID" w:eastAsia="en-ID"/>
              </w:rPr>
            </w:pPr>
            <w:r w:rsidRPr="001E59F1">
              <w:rPr>
                <w:rFonts w:eastAsia="Times New Roman"/>
                <w:color w:val="000000"/>
                <w:sz w:val="24"/>
                <w:szCs w:val="24"/>
                <w:lang w:val="en-ID" w:eastAsia="en-ID"/>
              </w:rPr>
              <w:t>Indonesian</w:t>
            </w:r>
          </w:p>
        </w:tc>
        <w:tc>
          <w:tcPr>
            <w:tcW w:w="4536" w:type="dxa"/>
            <w:tcBorders>
              <w:top w:val="nil"/>
              <w:left w:val="nil"/>
              <w:bottom w:val="nil"/>
              <w:right w:val="nil"/>
            </w:tcBorders>
            <w:shd w:val="clear" w:color="auto" w:fill="auto"/>
            <w:noWrap/>
            <w:vAlign w:val="center"/>
            <w:hideMark/>
          </w:tcPr>
          <w:p w14:paraId="1A9FEE41" w14:textId="77777777" w:rsidR="000E4D66" w:rsidRPr="001E59F1" w:rsidRDefault="000E4D66" w:rsidP="00EB19DA">
            <w:pPr>
              <w:spacing w:after="0"/>
              <w:ind w:firstLine="425"/>
              <w:jc w:val="center"/>
              <w:rPr>
                <w:rFonts w:eastAsia="Times New Roman"/>
                <w:color w:val="000000"/>
                <w:sz w:val="24"/>
                <w:szCs w:val="24"/>
                <w:lang w:val="en-ID" w:eastAsia="en-ID"/>
              </w:rPr>
            </w:pPr>
            <w:r w:rsidRPr="001E59F1">
              <w:rPr>
                <w:rFonts w:eastAsia="Times New Roman"/>
                <w:color w:val="000000"/>
                <w:sz w:val="24"/>
                <w:szCs w:val="24"/>
                <w:lang w:val="en-ID" w:eastAsia="en-ID"/>
              </w:rPr>
              <w:t>0,591</w:t>
            </w:r>
          </w:p>
        </w:tc>
      </w:tr>
      <w:tr w:rsidR="000E4D66" w:rsidRPr="001E59F1" w14:paraId="5326CC19" w14:textId="77777777" w:rsidTr="001D3C57">
        <w:trPr>
          <w:trHeight w:val="310"/>
        </w:trPr>
        <w:tc>
          <w:tcPr>
            <w:tcW w:w="4536" w:type="dxa"/>
            <w:tcBorders>
              <w:top w:val="nil"/>
              <w:left w:val="nil"/>
              <w:bottom w:val="nil"/>
              <w:right w:val="nil"/>
            </w:tcBorders>
            <w:shd w:val="clear" w:color="auto" w:fill="auto"/>
            <w:noWrap/>
            <w:vAlign w:val="center"/>
            <w:hideMark/>
          </w:tcPr>
          <w:p w14:paraId="52A9F603" w14:textId="77777777" w:rsidR="000E4D66" w:rsidRPr="001E59F1" w:rsidRDefault="000E4D66" w:rsidP="00EB19DA">
            <w:pPr>
              <w:spacing w:after="0"/>
              <w:ind w:firstLine="425"/>
              <w:rPr>
                <w:rFonts w:eastAsia="Times New Roman"/>
                <w:color w:val="000000"/>
                <w:sz w:val="24"/>
                <w:szCs w:val="24"/>
                <w:lang w:val="en-ID" w:eastAsia="en-ID"/>
              </w:rPr>
            </w:pPr>
            <w:r w:rsidRPr="001E59F1">
              <w:rPr>
                <w:rFonts w:eastAsia="Times New Roman"/>
                <w:color w:val="000000"/>
                <w:sz w:val="24"/>
                <w:szCs w:val="24"/>
                <w:lang w:val="en-ID" w:eastAsia="en-ID"/>
              </w:rPr>
              <w:t>Thailand</w:t>
            </w:r>
          </w:p>
        </w:tc>
        <w:tc>
          <w:tcPr>
            <w:tcW w:w="4536" w:type="dxa"/>
            <w:tcBorders>
              <w:top w:val="nil"/>
              <w:left w:val="nil"/>
              <w:bottom w:val="nil"/>
              <w:right w:val="nil"/>
            </w:tcBorders>
            <w:shd w:val="clear" w:color="auto" w:fill="auto"/>
            <w:noWrap/>
            <w:vAlign w:val="center"/>
            <w:hideMark/>
          </w:tcPr>
          <w:p w14:paraId="5D4FA2D6" w14:textId="77777777" w:rsidR="000E4D66" w:rsidRPr="001E59F1" w:rsidRDefault="000E4D66" w:rsidP="00EB19DA">
            <w:pPr>
              <w:spacing w:after="0"/>
              <w:ind w:firstLine="425"/>
              <w:jc w:val="center"/>
              <w:rPr>
                <w:rFonts w:eastAsia="Times New Roman"/>
                <w:color w:val="000000"/>
                <w:sz w:val="24"/>
                <w:szCs w:val="24"/>
                <w:lang w:val="en-ID" w:eastAsia="en-ID"/>
              </w:rPr>
            </w:pPr>
            <w:r w:rsidRPr="001E59F1">
              <w:rPr>
                <w:rFonts w:eastAsia="Times New Roman"/>
                <w:color w:val="000000"/>
                <w:sz w:val="24"/>
                <w:szCs w:val="24"/>
                <w:lang w:val="en-ID" w:eastAsia="en-ID"/>
              </w:rPr>
              <w:t>0,118</w:t>
            </w:r>
          </w:p>
        </w:tc>
      </w:tr>
      <w:tr w:rsidR="000E4D66" w:rsidRPr="001E59F1" w14:paraId="3509C127" w14:textId="77777777" w:rsidTr="001D3C57">
        <w:trPr>
          <w:trHeight w:val="310"/>
        </w:trPr>
        <w:tc>
          <w:tcPr>
            <w:tcW w:w="4536" w:type="dxa"/>
            <w:tcBorders>
              <w:top w:val="nil"/>
              <w:left w:val="nil"/>
              <w:bottom w:val="nil"/>
              <w:right w:val="nil"/>
            </w:tcBorders>
            <w:shd w:val="clear" w:color="auto" w:fill="auto"/>
            <w:noWrap/>
            <w:vAlign w:val="center"/>
            <w:hideMark/>
          </w:tcPr>
          <w:p w14:paraId="1270CB8D" w14:textId="3D48CA4D" w:rsidR="000E4D66" w:rsidRPr="001E59F1" w:rsidRDefault="000E4D66" w:rsidP="00EB19DA">
            <w:pPr>
              <w:spacing w:after="0"/>
              <w:ind w:firstLine="425"/>
              <w:rPr>
                <w:rFonts w:eastAsia="Times New Roman"/>
                <w:color w:val="000000"/>
                <w:sz w:val="24"/>
                <w:szCs w:val="24"/>
                <w:lang w:val="en-ID" w:eastAsia="en-ID"/>
              </w:rPr>
            </w:pPr>
            <w:r w:rsidRPr="001E59F1">
              <w:rPr>
                <w:rFonts w:eastAsia="Times New Roman"/>
                <w:color w:val="000000"/>
                <w:sz w:val="24"/>
                <w:szCs w:val="24"/>
                <w:lang w:val="en-ID" w:eastAsia="en-ID"/>
              </w:rPr>
              <w:t xml:space="preserve">Indian </w:t>
            </w:r>
          </w:p>
        </w:tc>
        <w:tc>
          <w:tcPr>
            <w:tcW w:w="4536" w:type="dxa"/>
            <w:tcBorders>
              <w:top w:val="nil"/>
              <w:left w:val="nil"/>
              <w:bottom w:val="nil"/>
              <w:right w:val="nil"/>
            </w:tcBorders>
            <w:shd w:val="clear" w:color="auto" w:fill="auto"/>
            <w:noWrap/>
            <w:vAlign w:val="center"/>
            <w:hideMark/>
          </w:tcPr>
          <w:p w14:paraId="0C3DAC5A" w14:textId="77777777" w:rsidR="000E4D66" w:rsidRPr="001E59F1" w:rsidRDefault="000E4D66" w:rsidP="00EB19DA">
            <w:pPr>
              <w:spacing w:after="0"/>
              <w:ind w:firstLine="425"/>
              <w:jc w:val="center"/>
              <w:rPr>
                <w:rFonts w:eastAsia="Times New Roman"/>
                <w:color w:val="000000"/>
                <w:sz w:val="24"/>
                <w:szCs w:val="24"/>
                <w:lang w:val="en-ID" w:eastAsia="en-ID"/>
              </w:rPr>
            </w:pPr>
            <w:r w:rsidRPr="001E59F1">
              <w:rPr>
                <w:rFonts w:eastAsia="Times New Roman"/>
                <w:color w:val="000000"/>
                <w:sz w:val="24"/>
                <w:szCs w:val="24"/>
                <w:lang w:val="en-ID" w:eastAsia="en-ID"/>
              </w:rPr>
              <w:t>0,048</w:t>
            </w:r>
          </w:p>
        </w:tc>
      </w:tr>
      <w:tr w:rsidR="000E4D66" w:rsidRPr="001E59F1" w14:paraId="019BB13D" w14:textId="77777777" w:rsidTr="001D3C57">
        <w:trPr>
          <w:trHeight w:val="310"/>
        </w:trPr>
        <w:tc>
          <w:tcPr>
            <w:tcW w:w="4536" w:type="dxa"/>
            <w:tcBorders>
              <w:top w:val="nil"/>
              <w:left w:val="nil"/>
              <w:bottom w:val="nil"/>
              <w:right w:val="nil"/>
            </w:tcBorders>
            <w:shd w:val="clear" w:color="auto" w:fill="auto"/>
            <w:noWrap/>
            <w:vAlign w:val="center"/>
            <w:hideMark/>
          </w:tcPr>
          <w:p w14:paraId="5243C172" w14:textId="77777777" w:rsidR="000E4D66" w:rsidRPr="001E59F1" w:rsidRDefault="000E4D66" w:rsidP="00EB19DA">
            <w:pPr>
              <w:spacing w:after="0"/>
              <w:ind w:firstLine="425"/>
              <w:rPr>
                <w:rFonts w:eastAsia="Times New Roman"/>
                <w:color w:val="000000"/>
                <w:sz w:val="24"/>
                <w:szCs w:val="24"/>
                <w:lang w:val="en-ID" w:eastAsia="en-ID"/>
              </w:rPr>
            </w:pPr>
            <w:r w:rsidRPr="001E59F1">
              <w:rPr>
                <w:rFonts w:eastAsia="Times New Roman"/>
                <w:color w:val="000000"/>
                <w:sz w:val="24"/>
                <w:szCs w:val="24"/>
                <w:lang w:val="en-ID" w:eastAsia="en-ID"/>
              </w:rPr>
              <w:t>Myanmar</w:t>
            </w:r>
          </w:p>
        </w:tc>
        <w:tc>
          <w:tcPr>
            <w:tcW w:w="4536" w:type="dxa"/>
            <w:tcBorders>
              <w:top w:val="nil"/>
              <w:left w:val="nil"/>
              <w:bottom w:val="nil"/>
              <w:right w:val="nil"/>
            </w:tcBorders>
            <w:shd w:val="clear" w:color="auto" w:fill="auto"/>
            <w:noWrap/>
            <w:vAlign w:val="center"/>
            <w:hideMark/>
          </w:tcPr>
          <w:p w14:paraId="0C6108CF" w14:textId="77777777" w:rsidR="000E4D66" w:rsidRPr="001E59F1" w:rsidRDefault="000E4D66" w:rsidP="00EB19DA">
            <w:pPr>
              <w:spacing w:after="0"/>
              <w:ind w:firstLine="425"/>
              <w:jc w:val="center"/>
              <w:rPr>
                <w:rFonts w:eastAsia="Times New Roman"/>
                <w:color w:val="000000"/>
                <w:sz w:val="24"/>
                <w:szCs w:val="24"/>
                <w:lang w:val="en-ID" w:eastAsia="en-ID"/>
              </w:rPr>
            </w:pPr>
            <w:r w:rsidRPr="001E59F1">
              <w:rPr>
                <w:rFonts w:eastAsia="Times New Roman"/>
                <w:color w:val="000000"/>
                <w:sz w:val="24"/>
                <w:szCs w:val="24"/>
                <w:lang w:val="en-ID" w:eastAsia="en-ID"/>
              </w:rPr>
              <w:t>0,141</w:t>
            </w:r>
          </w:p>
        </w:tc>
      </w:tr>
      <w:tr w:rsidR="000E4D66" w:rsidRPr="001E59F1" w14:paraId="5736CF41" w14:textId="77777777" w:rsidTr="001D3C57">
        <w:trPr>
          <w:trHeight w:val="310"/>
        </w:trPr>
        <w:tc>
          <w:tcPr>
            <w:tcW w:w="4536" w:type="dxa"/>
            <w:tcBorders>
              <w:top w:val="nil"/>
              <w:left w:val="nil"/>
              <w:bottom w:val="single" w:sz="4" w:space="0" w:color="auto"/>
              <w:right w:val="nil"/>
            </w:tcBorders>
            <w:shd w:val="clear" w:color="auto" w:fill="auto"/>
            <w:noWrap/>
            <w:vAlign w:val="center"/>
            <w:hideMark/>
          </w:tcPr>
          <w:p w14:paraId="4CEB21F0" w14:textId="77777777" w:rsidR="000E4D66" w:rsidRPr="001E59F1" w:rsidRDefault="000E4D66" w:rsidP="00EB19DA">
            <w:pPr>
              <w:spacing w:after="0"/>
              <w:ind w:firstLine="425"/>
              <w:rPr>
                <w:rFonts w:eastAsia="Times New Roman"/>
                <w:color w:val="000000"/>
                <w:sz w:val="24"/>
                <w:szCs w:val="24"/>
                <w:lang w:val="en-ID" w:eastAsia="en-ID"/>
              </w:rPr>
            </w:pPr>
            <w:r w:rsidRPr="001E59F1">
              <w:rPr>
                <w:rFonts w:eastAsia="Times New Roman"/>
                <w:color w:val="000000"/>
                <w:sz w:val="24"/>
                <w:szCs w:val="24"/>
                <w:lang w:val="en-ID" w:eastAsia="en-ID"/>
              </w:rPr>
              <w:t>ROW</w:t>
            </w:r>
          </w:p>
        </w:tc>
        <w:tc>
          <w:tcPr>
            <w:tcW w:w="4536" w:type="dxa"/>
            <w:tcBorders>
              <w:top w:val="nil"/>
              <w:left w:val="nil"/>
              <w:bottom w:val="single" w:sz="4" w:space="0" w:color="auto"/>
              <w:right w:val="nil"/>
            </w:tcBorders>
            <w:shd w:val="clear" w:color="auto" w:fill="auto"/>
            <w:noWrap/>
            <w:vAlign w:val="center"/>
            <w:hideMark/>
          </w:tcPr>
          <w:p w14:paraId="7381D78A" w14:textId="77777777" w:rsidR="000E4D66" w:rsidRPr="001E59F1" w:rsidRDefault="000E4D66" w:rsidP="00EB19DA">
            <w:pPr>
              <w:spacing w:after="0"/>
              <w:ind w:firstLine="425"/>
              <w:jc w:val="center"/>
              <w:rPr>
                <w:rFonts w:eastAsia="Times New Roman"/>
                <w:color w:val="000000"/>
                <w:sz w:val="24"/>
                <w:szCs w:val="24"/>
                <w:lang w:val="en-ID" w:eastAsia="en-ID"/>
              </w:rPr>
            </w:pPr>
            <w:r w:rsidRPr="001E59F1">
              <w:rPr>
                <w:rFonts w:eastAsia="Times New Roman"/>
                <w:color w:val="000000"/>
                <w:sz w:val="24"/>
                <w:szCs w:val="24"/>
                <w:lang w:val="en-ID" w:eastAsia="en-ID"/>
              </w:rPr>
              <w:t>0,102</w:t>
            </w:r>
          </w:p>
        </w:tc>
      </w:tr>
    </w:tbl>
    <w:p w14:paraId="2AD2806F" w14:textId="122518E2" w:rsidR="000E4D66" w:rsidRPr="001E59F1" w:rsidRDefault="000E4D66" w:rsidP="00EC09E0">
      <w:pPr>
        <w:spacing w:after="240"/>
        <w:ind w:firstLine="425"/>
        <w:jc w:val="both"/>
        <w:rPr>
          <w:sz w:val="24"/>
          <w:szCs w:val="24"/>
        </w:rPr>
      </w:pPr>
      <w:r w:rsidRPr="001E59F1">
        <w:rPr>
          <w:sz w:val="24"/>
          <w:szCs w:val="24"/>
        </w:rPr>
        <w:t>Source: processed (2025)</w:t>
      </w:r>
    </w:p>
    <w:p w14:paraId="2FC3EB96" w14:textId="1C6E1ADF" w:rsidR="000E4D66" w:rsidRPr="001E59F1" w:rsidRDefault="000E4D66" w:rsidP="00EB19DA">
      <w:pPr>
        <w:spacing w:after="0"/>
        <w:ind w:firstLine="425"/>
        <w:jc w:val="both"/>
        <w:rPr>
          <w:sz w:val="24"/>
          <w:szCs w:val="24"/>
        </w:rPr>
      </w:pPr>
      <w:r w:rsidRPr="001E59F1">
        <w:rPr>
          <w:sz w:val="24"/>
          <w:szCs w:val="24"/>
        </w:rPr>
        <w:t>The average market share of areca nut exports in the global market in Table</w:t>
      </w:r>
      <w:r w:rsidR="001D3C57">
        <w:rPr>
          <w:sz w:val="24"/>
          <w:szCs w:val="24"/>
        </w:rPr>
        <w:t xml:space="preserve"> </w:t>
      </w:r>
      <w:r w:rsidR="00A53A89">
        <w:rPr>
          <w:sz w:val="24"/>
          <w:szCs w:val="24"/>
        </w:rPr>
        <w:t>2</w:t>
      </w:r>
      <w:r w:rsidR="001D3C57">
        <w:rPr>
          <w:sz w:val="24"/>
          <w:szCs w:val="24"/>
        </w:rPr>
        <w:t xml:space="preserve"> </w:t>
      </w:r>
      <w:r w:rsidRPr="001E59F1">
        <w:rPr>
          <w:sz w:val="24"/>
          <w:szCs w:val="24"/>
        </w:rPr>
        <w:t xml:space="preserve">explains that several major areca </w:t>
      </w:r>
      <w:proofErr w:type="gramStart"/>
      <w:r w:rsidRPr="001E59F1">
        <w:rPr>
          <w:sz w:val="24"/>
          <w:szCs w:val="24"/>
        </w:rPr>
        <w:t>nut</w:t>
      </w:r>
      <w:proofErr w:type="gramEnd"/>
      <w:r w:rsidRPr="001E59F1">
        <w:rPr>
          <w:sz w:val="24"/>
          <w:szCs w:val="24"/>
        </w:rPr>
        <w:t xml:space="preserve"> exporting countries are Indonesia, Thailand, India, Myanmar, and others in the global market. Indonesia is the largest areca nut exporting country with a market share of 0.591 percent, indicating its dominant role in the global </w:t>
      </w:r>
      <w:proofErr w:type="spellStart"/>
      <w:r w:rsidRPr="001E59F1">
        <w:rPr>
          <w:sz w:val="24"/>
          <w:szCs w:val="24"/>
        </w:rPr>
        <w:t>arecanut</w:t>
      </w:r>
      <w:proofErr w:type="spellEnd"/>
      <w:r w:rsidRPr="001E59F1">
        <w:rPr>
          <w:sz w:val="24"/>
          <w:szCs w:val="24"/>
        </w:rPr>
        <w:t xml:space="preserve"> trade. Myanmar is in second place with a market share of 0.141 percent, indicating that this country also plays a significant role in areca nut exports, although its contribution is smaller than Indonesia's. Meanwhile, Thailand is in third place with 0.118 percent, and India has a small market share of only 0.048 percent, indicating its contribution to the global areca nut market is quite limited. Other countries in the ROW (Rest of the World) category contribute 0.102 percent to total areca nut exports.</w:t>
      </w:r>
    </w:p>
    <w:p w14:paraId="4D7356C0" w14:textId="770757C3" w:rsidR="006E640C" w:rsidRPr="001E59F1" w:rsidRDefault="000E4D66" w:rsidP="00EC09E0">
      <w:pPr>
        <w:spacing w:after="0"/>
        <w:ind w:firstLine="425"/>
        <w:jc w:val="both"/>
        <w:rPr>
          <w:sz w:val="24"/>
          <w:szCs w:val="24"/>
        </w:rPr>
      </w:pPr>
      <w:r w:rsidRPr="001E59F1">
        <w:rPr>
          <w:sz w:val="24"/>
          <w:szCs w:val="24"/>
        </w:rPr>
        <w:t xml:space="preserve">Indonesia's areca nut export market share is the highest compared to its competitors, with Indonesia holding over 50 percent of the global areca nut market, indicating strong competitiveness. Indonesia must remain vigilant against other competitors as the export </w:t>
      </w:r>
      <w:r w:rsidRPr="001E59F1">
        <w:rPr>
          <w:sz w:val="24"/>
          <w:szCs w:val="24"/>
        </w:rPr>
        <w:lastRenderedPageBreak/>
        <w:t xml:space="preserve">contribution of competing countries continues to increase and become more competitive. This is a concern because fluctuations in prices, product quality, and trade policies implemented by these countries can impact Indonesia's position in the global market. According to </w:t>
      </w:r>
      <w:proofErr w:type="spellStart"/>
      <w:r w:rsidRPr="006E640C">
        <w:rPr>
          <w:color w:val="2F5496" w:themeColor="accent5" w:themeShade="BF"/>
          <w:sz w:val="24"/>
          <w:szCs w:val="24"/>
        </w:rPr>
        <w:t>Fitriyani</w:t>
      </w:r>
      <w:proofErr w:type="spellEnd"/>
      <w:r w:rsidRPr="006E640C">
        <w:rPr>
          <w:color w:val="2F5496" w:themeColor="accent5" w:themeShade="BF"/>
          <w:sz w:val="24"/>
          <w:szCs w:val="24"/>
        </w:rPr>
        <w:t xml:space="preserve"> et al. (2024)</w:t>
      </w:r>
      <w:r w:rsidRPr="001E59F1">
        <w:rPr>
          <w:sz w:val="24"/>
          <w:szCs w:val="24"/>
        </w:rPr>
        <w:t>, international trade policies directly impact the competitiveness of Indonesian agricultural products in the global market. Therefore, a comprehensive strategy is needed to increase and maintain the competitiveness of Indonesian areca nut exports.</w:t>
      </w:r>
    </w:p>
    <w:p w14:paraId="467808DD" w14:textId="582098BE" w:rsidR="00EF7979" w:rsidRPr="00EC09E0" w:rsidRDefault="00EF7979" w:rsidP="00EC09E0">
      <w:pPr>
        <w:spacing w:after="200"/>
        <w:rPr>
          <w:b/>
          <w:bCs/>
          <w:sz w:val="20"/>
          <w:szCs w:val="20"/>
        </w:rPr>
      </w:pPr>
      <w:r w:rsidRPr="00EC09E0">
        <w:rPr>
          <w:b/>
          <w:bCs/>
          <w:sz w:val="20"/>
          <w:szCs w:val="20"/>
        </w:rPr>
        <w:t xml:space="preserve">Table </w:t>
      </w:r>
      <w:r w:rsidR="00A53A89" w:rsidRPr="00EC09E0">
        <w:rPr>
          <w:b/>
          <w:bCs/>
          <w:sz w:val="20"/>
          <w:szCs w:val="20"/>
        </w:rPr>
        <w:t>3</w:t>
      </w:r>
      <w:r w:rsidRPr="00EC09E0">
        <w:rPr>
          <w:b/>
          <w:bCs/>
          <w:sz w:val="20"/>
          <w:szCs w:val="20"/>
        </w:rPr>
        <w:t xml:space="preserve"> Price Elasticity Values of Areca Nuts in Indonesia, Thailand, Myanmar, and India</w:t>
      </w:r>
    </w:p>
    <w:tbl>
      <w:tblPr>
        <w:tblW w:w="9072" w:type="dxa"/>
        <w:tblLook w:val="04A0" w:firstRow="1" w:lastRow="0" w:firstColumn="1" w:lastColumn="0" w:noHBand="0" w:noVBand="1"/>
      </w:tblPr>
      <w:tblGrid>
        <w:gridCol w:w="2694"/>
        <w:gridCol w:w="6378"/>
      </w:tblGrid>
      <w:tr w:rsidR="00EF7979" w:rsidRPr="001E59F1" w14:paraId="5F29458E" w14:textId="77777777" w:rsidTr="006E640C">
        <w:trPr>
          <w:trHeight w:val="310"/>
        </w:trPr>
        <w:tc>
          <w:tcPr>
            <w:tcW w:w="2694" w:type="dxa"/>
            <w:tcBorders>
              <w:top w:val="single" w:sz="4" w:space="0" w:color="auto"/>
              <w:left w:val="nil"/>
              <w:bottom w:val="single" w:sz="4" w:space="0" w:color="auto"/>
              <w:right w:val="nil"/>
            </w:tcBorders>
            <w:shd w:val="clear" w:color="auto" w:fill="auto"/>
            <w:noWrap/>
            <w:vAlign w:val="bottom"/>
            <w:hideMark/>
          </w:tcPr>
          <w:p w14:paraId="3A93130D" w14:textId="6E291087" w:rsidR="00EF7979" w:rsidRPr="001E59F1" w:rsidRDefault="00EF7979" w:rsidP="00EB19DA">
            <w:pPr>
              <w:spacing w:after="0"/>
              <w:ind w:firstLine="425"/>
              <w:rPr>
                <w:rFonts w:eastAsia="Times New Roman"/>
                <w:color w:val="000000"/>
                <w:sz w:val="24"/>
                <w:szCs w:val="24"/>
                <w:lang w:val="en-ID" w:eastAsia="en-ID"/>
              </w:rPr>
            </w:pPr>
            <w:r w:rsidRPr="001E59F1">
              <w:rPr>
                <w:rFonts w:eastAsia="Times New Roman"/>
                <w:color w:val="000000"/>
                <w:sz w:val="24"/>
                <w:szCs w:val="24"/>
                <w:lang w:val="en-ID" w:eastAsia="en-ID"/>
              </w:rPr>
              <w:t>Country</w:t>
            </w:r>
          </w:p>
        </w:tc>
        <w:tc>
          <w:tcPr>
            <w:tcW w:w="6378" w:type="dxa"/>
            <w:tcBorders>
              <w:top w:val="single" w:sz="4" w:space="0" w:color="auto"/>
              <w:left w:val="nil"/>
              <w:bottom w:val="single" w:sz="4" w:space="0" w:color="auto"/>
              <w:right w:val="nil"/>
            </w:tcBorders>
            <w:shd w:val="clear" w:color="auto" w:fill="auto"/>
            <w:noWrap/>
            <w:vAlign w:val="bottom"/>
            <w:hideMark/>
          </w:tcPr>
          <w:p w14:paraId="374EA553" w14:textId="6DAB21CE" w:rsidR="00EF7979" w:rsidRPr="001E59F1" w:rsidRDefault="00EF7979" w:rsidP="00EB19DA">
            <w:pPr>
              <w:spacing w:after="0"/>
              <w:ind w:firstLine="425"/>
              <w:jc w:val="center"/>
              <w:rPr>
                <w:rFonts w:eastAsia="Times New Roman"/>
                <w:color w:val="000000"/>
                <w:sz w:val="24"/>
                <w:szCs w:val="24"/>
                <w:lang w:val="en-ID" w:eastAsia="en-ID"/>
              </w:rPr>
            </w:pPr>
            <w:r w:rsidRPr="001E59F1">
              <w:rPr>
                <w:rFonts w:eastAsia="Times New Roman"/>
                <w:color w:val="000000"/>
                <w:sz w:val="24"/>
                <w:szCs w:val="24"/>
                <w:lang w:val="en-ID" w:eastAsia="en-ID"/>
              </w:rPr>
              <w:t>Price Elasticity Values</w:t>
            </w:r>
          </w:p>
        </w:tc>
      </w:tr>
      <w:tr w:rsidR="00EF7979" w:rsidRPr="001E59F1" w14:paraId="4073FF27" w14:textId="77777777" w:rsidTr="006E640C">
        <w:trPr>
          <w:trHeight w:val="310"/>
        </w:trPr>
        <w:tc>
          <w:tcPr>
            <w:tcW w:w="2694" w:type="dxa"/>
            <w:tcBorders>
              <w:top w:val="nil"/>
              <w:left w:val="nil"/>
              <w:bottom w:val="nil"/>
              <w:right w:val="nil"/>
            </w:tcBorders>
            <w:shd w:val="clear" w:color="auto" w:fill="auto"/>
            <w:noWrap/>
            <w:vAlign w:val="bottom"/>
            <w:hideMark/>
          </w:tcPr>
          <w:p w14:paraId="4D5E41B6" w14:textId="3B88D9F6" w:rsidR="00EF7979" w:rsidRPr="001E59F1" w:rsidRDefault="00EF7979" w:rsidP="00EB19DA">
            <w:pPr>
              <w:spacing w:after="0"/>
              <w:ind w:firstLine="425"/>
              <w:rPr>
                <w:rFonts w:eastAsia="Times New Roman"/>
                <w:color w:val="000000"/>
                <w:sz w:val="24"/>
                <w:szCs w:val="24"/>
                <w:lang w:val="en-ID" w:eastAsia="en-ID"/>
              </w:rPr>
            </w:pPr>
            <w:r w:rsidRPr="001E59F1">
              <w:rPr>
                <w:rFonts w:eastAsia="Times New Roman"/>
                <w:color w:val="000000"/>
                <w:sz w:val="24"/>
                <w:szCs w:val="24"/>
                <w:lang w:val="en-ID" w:eastAsia="en-ID"/>
              </w:rPr>
              <w:t>Indonesia</w:t>
            </w:r>
            <w:r w:rsidR="006E640C">
              <w:rPr>
                <w:rFonts w:eastAsia="Times New Roman"/>
                <w:color w:val="000000"/>
                <w:sz w:val="24"/>
                <w:szCs w:val="24"/>
                <w:lang w:val="en-ID" w:eastAsia="en-ID"/>
              </w:rPr>
              <w:t>n</w:t>
            </w:r>
          </w:p>
        </w:tc>
        <w:tc>
          <w:tcPr>
            <w:tcW w:w="6378" w:type="dxa"/>
            <w:tcBorders>
              <w:top w:val="nil"/>
              <w:left w:val="nil"/>
              <w:bottom w:val="nil"/>
              <w:right w:val="nil"/>
            </w:tcBorders>
            <w:shd w:val="clear" w:color="auto" w:fill="auto"/>
            <w:noWrap/>
            <w:vAlign w:val="bottom"/>
            <w:hideMark/>
          </w:tcPr>
          <w:p w14:paraId="340BB6E3" w14:textId="77777777" w:rsidR="00EF7979" w:rsidRPr="001E59F1" w:rsidRDefault="00EF7979" w:rsidP="00EB19DA">
            <w:pPr>
              <w:spacing w:after="0"/>
              <w:ind w:firstLine="425"/>
              <w:jc w:val="center"/>
              <w:rPr>
                <w:rFonts w:eastAsia="Times New Roman"/>
                <w:color w:val="000000"/>
                <w:sz w:val="24"/>
                <w:szCs w:val="24"/>
                <w:lang w:val="en-ID" w:eastAsia="en-ID"/>
              </w:rPr>
            </w:pPr>
            <w:r w:rsidRPr="001E59F1">
              <w:rPr>
                <w:rFonts w:eastAsia="Times New Roman"/>
                <w:color w:val="000000"/>
                <w:sz w:val="24"/>
                <w:szCs w:val="24"/>
                <w:lang w:val="en-ID" w:eastAsia="en-ID"/>
              </w:rPr>
              <w:t>-0,587</w:t>
            </w:r>
          </w:p>
        </w:tc>
      </w:tr>
      <w:tr w:rsidR="00EF7979" w:rsidRPr="001E59F1" w14:paraId="4F2C00D4" w14:textId="77777777" w:rsidTr="006E640C">
        <w:trPr>
          <w:trHeight w:val="310"/>
        </w:trPr>
        <w:tc>
          <w:tcPr>
            <w:tcW w:w="2694" w:type="dxa"/>
            <w:tcBorders>
              <w:top w:val="nil"/>
              <w:left w:val="nil"/>
              <w:bottom w:val="nil"/>
              <w:right w:val="nil"/>
            </w:tcBorders>
            <w:shd w:val="clear" w:color="auto" w:fill="auto"/>
            <w:noWrap/>
            <w:vAlign w:val="bottom"/>
            <w:hideMark/>
          </w:tcPr>
          <w:p w14:paraId="3D104918" w14:textId="77777777" w:rsidR="00EF7979" w:rsidRPr="001E59F1" w:rsidRDefault="00EF7979" w:rsidP="00EB19DA">
            <w:pPr>
              <w:spacing w:after="0"/>
              <w:ind w:firstLine="425"/>
              <w:rPr>
                <w:rFonts w:eastAsia="Times New Roman"/>
                <w:color w:val="000000"/>
                <w:sz w:val="24"/>
                <w:szCs w:val="24"/>
                <w:lang w:val="en-ID" w:eastAsia="en-ID"/>
              </w:rPr>
            </w:pPr>
            <w:r w:rsidRPr="001E59F1">
              <w:rPr>
                <w:rFonts w:eastAsia="Times New Roman"/>
                <w:color w:val="000000"/>
                <w:sz w:val="24"/>
                <w:szCs w:val="24"/>
                <w:lang w:val="en-ID" w:eastAsia="en-ID"/>
              </w:rPr>
              <w:t>Thailand</w:t>
            </w:r>
          </w:p>
        </w:tc>
        <w:tc>
          <w:tcPr>
            <w:tcW w:w="6378" w:type="dxa"/>
            <w:tcBorders>
              <w:top w:val="nil"/>
              <w:left w:val="nil"/>
              <w:bottom w:val="nil"/>
              <w:right w:val="nil"/>
            </w:tcBorders>
            <w:shd w:val="clear" w:color="auto" w:fill="auto"/>
            <w:noWrap/>
            <w:vAlign w:val="bottom"/>
            <w:hideMark/>
          </w:tcPr>
          <w:p w14:paraId="34D0F3F6" w14:textId="77777777" w:rsidR="00EF7979" w:rsidRPr="001E59F1" w:rsidRDefault="00EF7979" w:rsidP="00EB19DA">
            <w:pPr>
              <w:spacing w:after="0"/>
              <w:ind w:firstLine="425"/>
              <w:jc w:val="center"/>
              <w:rPr>
                <w:rFonts w:eastAsia="Times New Roman"/>
                <w:color w:val="000000"/>
                <w:sz w:val="24"/>
                <w:szCs w:val="24"/>
                <w:lang w:val="en-ID" w:eastAsia="en-ID"/>
              </w:rPr>
            </w:pPr>
            <w:r w:rsidRPr="001E59F1">
              <w:rPr>
                <w:rFonts w:eastAsia="Times New Roman"/>
                <w:color w:val="000000"/>
                <w:sz w:val="24"/>
                <w:szCs w:val="24"/>
                <w:lang w:val="en-ID" w:eastAsia="en-ID"/>
              </w:rPr>
              <w:t>-1,197</w:t>
            </w:r>
          </w:p>
        </w:tc>
      </w:tr>
      <w:tr w:rsidR="00EF7979" w:rsidRPr="001E59F1" w14:paraId="35C091BC" w14:textId="77777777" w:rsidTr="006E640C">
        <w:trPr>
          <w:trHeight w:val="310"/>
        </w:trPr>
        <w:tc>
          <w:tcPr>
            <w:tcW w:w="2694" w:type="dxa"/>
            <w:tcBorders>
              <w:top w:val="nil"/>
              <w:left w:val="nil"/>
              <w:bottom w:val="nil"/>
              <w:right w:val="nil"/>
            </w:tcBorders>
            <w:shd w:val="clear" w:color="auto" w:fill="auto"/>
            <w:noWrap/>
            <w:vAlign w:val="bottom"/>
            <w:hideMark/>
          </w:tcPr>
          <w:p w14:paraId="6628A466" w14:textId="0C1E926E" w:rsidR="00EF7979" w:rsidRPr="001E59F1" w:rsidRDefault="00EF7979" w:rsidP="00EB19DA">
            <w:pPr>
              <w:spacing w:after="0"/>
              <w:ind w:firstLine="425"/>
              <w:rPr>
                <w:rFonts w:eastAsia="Times New Roman"/>
                <w:color w:val="000000"/>
                <w:sz w:val="24"/>
                <w:szCs w:val="24"/>
                <w:lang w:val="en-ID" w:eastAsia="en-ID"/>
              </w:rPr>
            </w:pPr>
            <w:r w:rsidRPr="001E59F1">
              <w:rPr>
                <w:rFonts w:eastAsia="Times New Roman"/>
                <w:color w:val="000000"/>
                <w:sz w:val="24"/>
                <w:szCs w:val="24"/>
                <w:lang w:val="en-ID" w:eastAsia="en-ID"/>
              </w:rPr>
              <w:t>India</w:t>
            </w:r>
            <w:r w:rsidR="006E640C">
              <w:rPr>
                <w:rFonts w:eastAsia="Times New Roman"/>
                <w:color w:val="000000"/>
                <w:sz w:val="24"/>
                <w:szCs w:val="24"/>
                <w:lang w:val="en-ID" w:eastAsia="en-ID"/>
              </w:rPr>
              <w:t>n</w:t>
            </w:r>
          </w:p>
        </w:tc>
        <w:tc>
          <w:tcPr>
            <w:tcW w:w="6378" w:type="dxa"/>
            <w:tcBorders>
              <w:top w:val="nil"/>
              <w:left w:val="nil"/>
              <w:bottom w:val="nil"/>
              <w:right w:val="nil"/>
            </w:tcBorders>
            <w:shd w:val="clear" w:color="auto" w:fill="auto"/>
            <w:noWrap/>
            <w:vAlign w:val="bottom"/>
            <w:hideMark/>
          </w:tcPr>
          <w:p w14:paraId="4037BFA9" w14:textId="77777777" w:rsidR="00EF7979" w:rsidRPr="001E59F1" w:rsidRDefault="00EF7979" w:rsidP="00EB19DA">
            <w:pPr>
              <w:spacing w:after="0"/>
              <w:ind w:firstLine="425"/>
              <w:jc w:val="center"/>
              <w:rPr>
                <w:rFonts w:eastAsia="Times New Roman"/>
                <w:color w:val="000000"/>
                <w:sz w:val="24"/>
                <w:szCs w:val="24"/>
                <w:lang w:val="en-ID" w:eastAsia="en-ID"/>
              </w:rPr>
            </w:pPr>
            <w:r w:rsidRPr="001E59F1">
              <w:rPr>
                <w:rFonts w:eastAsia="Times New Roman"/>
                <w:color w:val="000000"/>
                <w:sz w:val="24"/>
                <w:szCs w:val="24"/>
                <w:lang w:val="en-ID" w:eastAsia="en-ID"/>
              </w:rPr>
              <w:t>-0,882</w:t>
            </w:r>
          </w:p>
        </w:tc>
      </w:tr>
      <w:tr w:rsidR="00EF7979" w:rsidRPr="001E59F1" w14:paraId="470930D4" w14:textId="77777777" w:rsidTr="006E640C">
        <w:trPr>
          <w:trHeight w:val="310"/>
        </w:trPr>
        <w:tc>
          <w:tcPr>
            <w:tcW w:w="2694" w:type="dxa"/>
            <w:tcBorders>
              <w:top w:val="nil"/>
              <w:left w:val="nil"/>
              <w:bottom w:val="single" w:sz="4" w:space="0" w:color="auto"/>
              <w:right w:val="nil"/>
            </w:tcBorders>
            <w:shd w:val="clear" w:color="auto" w:fill="auto"/>
            <w:noWrap/>
            <w:vAlign w:val="bottom"/>
            <w:hideMark/>
          </w:tcPr>
          <w:p w14:paraId="37A39CE2" w14:textId="77777777" w:rsidR="00EF7979" w:rsidRPr="001E59F1" w:rsidRDefault="00EF7979" w:rsidP="00EB19DA">
            <w:pPr>
              <w:spacing w:after="0"/>
              <w:ind w:firstLine="425"/>
              <w:rPr>
                <w:rFonts w:eastAsia="Times New Roman"/>
                <w:color w:val="000000"/>
                <w:sz w:val="24"/>
                <w:szCs w:val="24"/>
                <w:lang w:val="en-ID" w:eastAsia="en-ID"/>
              </w:rPr>
            </w:pPr>
            <w:r w:rsidRPr="001E59F1">
              <w:rPr>
                <w:rFonts w:eastAsia="Times New Roman"/>
                <w:color w:val="000000"/>
                <w:sz w:val="24"/>
                <w:szCs w:val="24"/>
                <w:lang w:val="en-ID" w:eastAsia="en-ID"/>
              </w:rPr>
              <w:t>Myanmar</w:t>
            </w:r>
          </w:p>
        </w:tc>
        <w:tc>
          <w:tcPr>
            <w:tcW w:w="6378" w:type="dxa"/>
            <w:tcBorders>
              <w:top w:val="nil"/>
              <w:left w:val="nil"/>
              <w:bottom w:val="single" w:sz="4" w:space="0" w:color="auto"/>
              <w:right w:val="nil"/>
            </w:tcBorders>
            <w:shd w:val="clear" w:color="auto" w:fill="auto"/>
            <w:noWrap/>
            <w:vAlign w:val="bottom"/>
            <w:hideMark/>
          </w:tcPr>
          <w:p w14:paraId="1AC65DCD" w14:textId="77777777" w:rsidR="00EF7979" w:rsidRPr="001E59F1" w:rsidRDefault="00EF7979" w:rsidP="00EB19DA">
            <w:pPr>
              <w:spacing w:after="0"/>
              <w:ind w:firstLine="425"/>
              <w:jc w:val="center"/>
              <w:rPr>
                <w:rFonts w:eastAsia="Times New Roman"/>
                <w:color w:val="000000"/>
                <w:sz w:val="24"/>
                <w:szCs w:val="24"/>
                <w:lang w:val="en-ID" w:eastAsia="en-ID"/>
              </w:rPr>
            </w:pPr>
            <w:r w:rsidRPr="001E59F1">
              <w:rPr>
                <w:rFonts w:eastAsia="Times New Roman"/>
                <w:color w:val="000000"/>
                <w:sz w:val="24"/>
                <w:szCs w:val="24"/>
                <w:lang w:val="en-ID" w:eastAsia="en-ID"/>
              </w:rPr>
              <w:t>-1,093</w:t>
            </w:r>
          </w:p>
        </w:tc>
      </w:tr>
    </w:tbl>
    <w:p w14:paraId="1728F9AA" w14:textId="387A6775" w:rsidR="001D3C57" w:rsidRPr="001E59F1" w:rsidRDefault="00EF7979" w:rsidP="00EC09E0">
      <w:pPr>
        <w:spacing w:after="240"/>
        <w:jc w:val="both"/>
        <w:rPr>
          <w:sz w:val="24"/>
          <w:szCs w:val="24"/>
        </w:rPr>
      </w:pPr>
      <w:r w:rsidRPr="001E59F1">
        <w:rPr>
          <w:sz w:val="24"/>
          <w:szCs w:val="24"/>
        </w:rPr>
        <w:t>Source: processed (2025)</w:t>
      </w:r>
    </w:p>
    <w:p w14:paraId="2A6A2BE4" w14:textId="4409BF05" w:rsidR="001D3C57" w:rsidRDefault="00EF7979" w:rsidP="00EB19DA">
      <w:pPr>
        <w:spacing w:after="0"/>
        <w:ind w:firstLine="425"/>
        <w:jc w:val="both"/>
        <w:rPr>
          <w:rFonts w:eastAsia="Times New Roman"/>
          <w:sz w:val="24"/>
          <w:szCs w:val="24"/>
          <w:lang w:val="en-ID" w:eastAsia="en-ID"/>
        </w:rPr>
      </w:pPr>
      <w:r w:rsidRPr="00EF7979">
        <w:rPr>
          <w:rFonts w:eastAsia="Times New Roman"/>
          <w:sz w:val="24"/>
          <w:szCs w:val="24"/>
          <w:lang w:val="en-ID" w:eastAsia="en-ID"/>
        </w:rPr>
        <w:t xml:space="preserve">Table </w:t>
      </w:r>
      <w:r w:rsidR="00A53A89">
        <w:rPr>
          <w:rFonts w:eastAsia="Times New Roman"/>
          <w:sz w:val="24"/>
          <w:szCs w:val="24"/>
          <w:lang w:val="en-ID" w:eastAsia="en-ID"/>
        </w:rPr>
        <w:t>3</w:t>
      </w:r>
      <w:r w:rsidRPr="00EF7979">
        <w:rPr>
          <w:rFonts w:eastAsia="Times New Roman"/>
          <w:sz w:val="24"/>
          <w:szCs w:val="24"/>
          <w:lang w:val="en-ID" w:eastAsia="en-ID"/>
        </w:rPr>
        <w:t xml:space="preserve"> presents the results of the AIDS model estimation using the uncompensated price elasticity formula. The own-price elasticities for areca nut exports from Indonesia, Thailand, India, and Myanmar all show negative values. This negative sign indicates an inverse relationship between price and quantity demanded—when the price of areca nut increases, demand decreases. This finding aligns with the basic demand theory, which states that higher prices typically lead to lower demand, and vice versa (</w:t>
      </w:r>
      <w:r w:rsidRPr="00EF7979">
        <w:rPr>
          <w:rFonts w:eastAsia="Times New Roman"/>
          <w:color w:val="2F5496" w:themeColor="accent5" w:themeShade="BF"/>
          <w:sz w:val="24"/>
          <w:szCs w:val="24"/>
          <w:lang w:val="en-ID" w:eastAsia="en-ID"/>
        </w:rPr>
        <w:t>Mankiw, 2006</w:t>
      </w:r>
      <w:r w:rsidRPr="00EF7979">
        <w:rPr>
          <w:rFonts w:eastAsia="Times New Roman"/>
          <w:sz w:val="24"/>
          <w:szCs w:val="24"/>
          <w:lang w:val="en-ID" w:eastAsia="en-ID"/>
        </w:rPr>
        <w:t>). In this context, products can be either price-elastic or inelastic. Elastic products are highly responsive to price changes, whereas inelastic ones show relatively stable demand despite price fluctuations.</w:t>
      </w:r>
    </w:p>
    <w:p w14:paraId="0EE9F0E3" w14:textId="19FEB63E" w:rsidR="00EF7979" w:rsidRDefault="00EF7979" w:rsidP="00EB19DA">
      <w:pPr>
        <w:spacing w:after="0"/>
        <w:ind w:firstLine="425"/>
        <w:jc w:val="both"/>
        <w:rPr>
          <w:rFonts w:eastAsia="Times New Roman"/>
          <w:sz w:val="24"/>
          <w:szCs w:val="24"/>
          <w:lang w:val="en-ID" w:eastAsia="en-ID"/>
        </w:rPr>
      </w:pPr>
      <w:r w:rsidRPr="00EF7979">
        <w:rPr>
          <w:rFonts w:eastAsia="Times New Roman"/>
          <w:sz w:val="24"/>
          <w:szCs w:val="24"/>
          <w:lang w:val="en-ID" w:eastAsia="en-ID"/>
        </w:rPr>
        <w:t xml:space="preserve">The own-price elasticity of areca nut varies across exporting countries. Indonesia has an elasticity of -0.587, meaning a 1% increase in price leads to a 0.587% decrease in demand, suggesting inelastic </w:t>
      </w:r>
      <w:proofErr w:type="spellStart"/>
      <w:r w:rsidRPr="00EF7979">
        <w:rPr>
          <w:rFonts w:eastAsia="Times New Roman"/>
          <w:sz w:val="24"/>
          <w:szCs w:val="24"/>
          <w:lang w:val="en-ID" w:eastAsia="en-ID"/>
        </w:rPr>
        <w:t>behavior</w:t>
      </w:r>
      <w:proofErr w:type="spellEnd"/>
      <w:r w:rsidRPr="00EF7979">
        <w:rPr>
          <w:rFonts w:eastAsia="Times New Roman"/>
          <w:sz w:val="24"/>
          <w:szCs w:val="24"/>
          <w:lang w:val="en-ID" w:eastAsia="en-ID"/>
        </w:rPr>
        <w:t>. Similarly, India’s elasticity is -0.882, also indicating inelastic demand. In contrast, Thailand shows the highest elasticity at -1.197, implying that demand is highly sensitive to price changes. Myanmar’s elasticity is -1.093, also reflecting elastic demand.</w:t>
      </w:r>
    </w:p>
    <w:p w14:paraId="46CDABA4" w14:textId="0141FEC5" w:rsidR="00EF7979" w:rsidRPr="00EC09E0" w:rsidRDefault="00EF7979" w:rsidP="00C14ED7">
      <w:pPr>
        <w:spacing w:after="200"/>
        <w:jc w:val="both"/>
        <w:rPr>
          <w:b/>
          <w:bCs/>
          <w:color w:val="000000"/>
          <w:sz w:val="20"/>
          <w:szCs w:val="20"/>
        </w:rPr>
      </w:pPr>
      <w:r w:rsidRPr="00EC09E0">
        <w:rPr>
          <w:b/>
          <w:bCs/>
          <w:color w:val="000000"/>
          <w:sz w:val="20"/>
          <w:szCs w:val="20"/>
        </w:rPr>
        <w:t xml:space="preserve">Tabel </w:t>
      </w:r>
      <w:r w:rsidR="00A53A89" w:rsidRPr="00EC09E0">
        <w:rPr>
          <w:b/>
          <w:bCs/>
          <w:color w:val="000000"/>
          <w:sz w:val="20"/>
          <w:szCs w:val="20"/>
        </w:rPr>
        <w:t>4</w:t>
      </w:r>
      <w:r w:rsidR="006C56EA" w:rsidRPr="00EC09E0">
        <w:rPr>
          <w:b/>
          <w:bCs/>
          <w:color w:val="000000"/>
          <w:sz w:val="20"/>
          <w:szCs w:val="20"/>
        </w:rPr>
        <w:t xml:space="preserve">. </w:t>
      </w:r>
      <w:r w:rsidR="004629DA" w:rsidRPr="00EC09E0">
        <w:rPr>
          <w:b/>
          <w:bCs/>
          <w:color w:val="000000"/>
          <w:sz w:val="20"/>
          <w:szCs w:val="20"/>
        </w:rPr>
        <w:t>Cross-Price Elasticity of Areca Nuts in Indonesia, Thailand, India, and Myanmar</w:t>
      </w:r>
    </w:p>
    <w:tbl>
      <w:tblPr>
        <w:tblW w:w="9070" w:type="dxa"/>
        <w:tblLook w:val="04A0" w:firstRow="1" w:lastRow="0" w:firstColumn="1" w:lastColumn="0" w:noHBand="0" w:noVBand="1"/>
      </w:tblPr>
      <w:tblGrid>
        <w:gridCol w:w="2790"/>
        <w:gridCol w:w="154"/>
        <w:gridCol w:w="1593"/>
        <w:gridCol w:w="1568"/>
        <w:gridCol w:w="1381"/>
        <w:gridCol w:w="1584"/>
      </w:tblGrid>
      <w:tr w:rsidR="00EF7979" w:rsidRPr="001E59F1" w14:paraId="7044EAC3" w14:textId="77777777" w:rsidTr="00EC09E0">
        <w:trPr>
          <w:trHeight w:val="310"/>
        </w:trPr>
        <w:tc>
          <w:tcPr>
            <w:tcW w:w="2824" w:type="dxa"/>
            <w:tcBorders>
              <w:top w:val="single" w:sz="4" w:space="0" w:color="auto"/>
              <w:left w:val="nil"/>
              <w:bottom w:val="single" w:sz="4" w:space="0" w:color="auto"/>
              <w:right w:val="nil"/>
            </w:tcBorders>
            <w:shd w:val="clear" w:color="auto" w:fill="auto"/>
            <w:noWrap/>
            <w:vAlign w:val="bottom"/>
            <w:hideMark/>
          </w:tcPr>
          <w:p w14:paraId="5B3E9243" w14:textId="77777777" w:rsidR="00EF7979" w:rsidRPr="001E59F1" w:rsidRDefault="00EF7979" w:rsidP="00EB19DA">
            <w:pPr>
              <w:spacing w:after="0"/>
              <w:ind w:firstLine="425"/>
              <w:rPr>
                <w:rFonts w:eastAsia="Times New Roman"/>
                <w:color w:val="000000"/>
                <w:sz w:val="24"/>
                <w:szCs w:val="24"/>
                <w:lang w:val="en-ID" w:eastAsia="en-ID"/>
              </w:rPr>
            </w:pPr>
          </w:p>
        </w:tc>
        <w:tc>
          <w:tcPr>
            <w:tcW w:w="1662" w:type="dxa"/>
            <w:gridSpan w:val="2"/>
            <w:tcBorders>
              <w:top w:val="single" w:sz="4" w:space="0" w:color="auto"/>
              <w:left w:val="nil"/>
              <w:bottom w:val="single" w:sz="4" w:space="0" w:color="auto"/>
              <w:right w:val="nil"/>
            </w:tcBorders>
            <w:shd w:val="clear" w:color="auto" w:fill="auto"/>
            <w:noWrap/>
            <w:vAlign w:val="bottom"/>
            <w:hideMark/>
          </w:tcPr>
          <w:p w14:paraId="0A7DEC76" w14:textId="6A580C4B" w:rsidR="00EF7979" w:rsidRPr="001E59F1" w:rsidRDefault="00EF7979" w:rsidP="00EB19DA">
            <w:pPr>
              <w:spacing w:after="0"/>
              <w:ind w:firstLine="425"/>
              <w:jc w:val="right"/>
              <w:rPr>
                <w:rFonts w:eastAsia="Times New Roman"/>
                <w:color w:val="000000"/>
                <w:sz w:val="24"/>
                <w:szCs w:val="24"/>
                <w:lang w:val="en-ID" w:eastAsia="en-ID"/>
              </w:rPr>
            </w:pPr>
            <w:r w:rsidRPr="001E59F1">
              <w:rPr>
                <w:rFonts w:eastAsia="Times New Roman"/>
                <w:color w:val="000000"/>
                <w:sz w:val="24"/>
                <w:szCs w:val="24"/>
                <w:lang w:val="en-ID" w:eastAsia="en-ID"/>
              </w:rPr>
              <w:t>Indonesia</w:t>
            </w:r>
            <w:r w:rsidR="004629DA">
              <w:rPr>
                <w:rFonts w:eastAsia="Times New Roman"/>
                <w:color w:val="000000"/>
                <w:sz w:val="24"/>
                <w:szCs w:val="24"/>
                <w:lang w:val="en-ID" w:eastAsia="en-ID"/>
              </w:rPr>
              <w:t>n</w:t>
            </w:r>
          </w:p>
        </w:tc>
        <w:tc>
          <w:tcPr>
            <w:tcW w:w="1586" w:type="dxa"/>
            <w:tcBorders>
              <w:top w:val="single" w:sz="4" w:space="0" w:color="auto"/>
              <w:left w:val="nil"/>
              <w:bottom w:val="single" w:sz="4" w:space="0" w:color="auto"/>
              <w:right w:val="nil"/>
            </w:tcBorders>
            <w:shd w:val="clear" w:color="auto" w:fill="auto"/>
            <w:noWrap/>
            <w:vAlign w:val="bottom"/>
            <w:hideMark/>
          </w:tcPr>
          <w:p w14:paraId="1BE50F5C" w14:textId="77777777" w:rsidR="00EF7979" w:rsidRPr="001E59F1" w:rsidRDefault="00EF7979" w:rsidP="00EB19DA">
            <w:pPr>
              <w:spacing w:after="0"/>
              <w:ind w:firstLine="425"/>
              <w:jc w:val="right"/>
              <w:rPr>
                <w:rFonts w:eastAsia="Times New Roman"/>
                <w:color w:val="000000"/>
                <w:sz w:val="24"/>
                <w:szCs w:val="24"/>
                <w:lang w:val="en-ID" w:eastAsia="en-ID"/>
              </w:rPr>
            </w:pPr>
            <w:r w:rsidRPr="001E59F1">
              <w:rPr>
                <w:rFonts w:eastAsia="Times New Roman"/>
                <w:color w:val="000000"/>
                <w:sz w:val="24"/>
                <w:szCs w:val="24"/>
                <w:lang w:val="en-ID" w:eastAsia="en-ID"/>
              </w:rPr>
              <w:t>Thailand</w:t>
            </w:r>
          </w:p>
        </w:tc>
        <w:tc>
          <w:tcPr>
            <w:tcW w:w="1396" w:type="dxa"/>
            <w:tcBorders>
              <w:top w:val="single" w:sz="4" w:space="0" w:color="auto"/>
              <w:left w:val="nil"/>
              <w:bottom w:val="single" w:sz="4" w:space="0" w:color="auto"/>
              <w:right w:val="nil"/>
            </w:tcBorders>
            <w:shd w:val="clear" w:color="auto" w:fill="auto"/>
            <w:noWrap/>
            <w:vAlign w:val="bottom"/>
            <w:hideMark/>
          </w:tcPr>
          <w:p w14:paraId="3D8B0182" w14:textId="4EDC95B4" w:rsidR="00EF7979" w:rsidRPr="001E59F1" w:rsidRDefault="00EF7979" w:rsidP="00EB19DA">
            <w:pPr>
              <w:spacing w:after="0"/>
              <w:ind w:firstLine="425"/>
              <w:jc w:val="right"/>
              <w:rPr>
                <w:rFonts w:eastAsia="Times New Roman"/>
                <w:color w:val="000000"/>
                <w:sz w:val="24"/>
                <w:szCs w:val="24"/>
                <w:lang w:val="en-ID" w:eastAsia="en-ID"/>
              </w:rPr>
            </w:pPr>
            <w:r w:rsidRPr="001E59F1">
              <w:rPr>
                <w:rFonts w:eastAsia="Times New Roman"/>
                <w:color w:val="000000"/>
                <w:sz w:val="24"/>
                <w:szCs w:val="24"/>
                <w:lang w:val="en-ID" w:eastAsia="en-ID"/>
              </w:rPr>
              <w:t>India</w:t>
            </w:r>
            <w:r w:rsidR="004629DA">
              <w:rPr>
                <w:rFonts w:eastAsia="Times New Roman"/>
                <w:color w:val="000000"/>
                <w:sz w:val="24"/>
                <w:szCs w:val="24"/>
                <w:lang w:val="en-ID" w:eastAsia="en-ID"/>
              </w:rPr>
              <w:t>n</w:t>
            </w:r>
          </w:p>
        </w:tc>
        <w:tc>
          <w:tcPr>
            <w:tcW w:w="1602" w:type="dxa"/>
            <w:tcBorders>
              <w:top w:val="single" w:sz="4" w:space="0" w:color="auto"/>
              <w:left w:val="nil"/>
              <w:bottom w:val="single" w:sz="4" w:space="0" w:color="auto"/>
              <w:right w:val="nil"/>
            </w:tcBorders>
            <w:shd w:val="clear" w:color="auto" w:fill="auto"/>
            <w:noWrap/>
            <w:vAlign w:val="bottom"/>
            <w:hideMark/>
          </w:tcPr>
          <w:p w14:paraId="18C59DD6" w14:textId="77777777" w:rsidR="00EF7979" w:rsidRPr="001E59F1" w:rsidRDefault="00EF7979" w:rsidP="00EB19DA">
            <w:pPr>
              <w:spacing w:after="0"/>
              <w:ind w:firstLine="425"/>
              <w:jc w:val="right"/>
              <w:rPr>
                <w:rFonts w:eastAsia="Times New Roman"/>
                <w:color w:val="000000"/>
                <w:sz w:val="24"/>
                <w:szCs w:val="24"/>
                <w:lang w:val="en-ID" w:eastAsia="en-ID"/>
              </w:rPr>
            </w:pPr>
            <w:r w:rsidRPr="001E59F1">
              <w:rPr>
                <w:rFonts w:eastAsia="Times New Roman"/>
                <w:color w:val="000000"/>
                <w:sz w:val="24"/>
                <w:szCs w:val="24"/>
                <w:lang w:val="en-ID" w:eastAsia="en-ID"/>
              </w:rPr>
              <w:t>Myanmar</w:t>
            </w:r>
          </w:p>
        </w:tc>
      </w:tr>
      <w:tr w:rsidR="00EF7979" w:rsidRPr="001E59F1" w14:paraId="01B37DF0" w14:textId="77777777" w:rsidTr="00EC09E0">
        <w:trPr>
          <w:trHeight w:val="310"/>
        </w:trPr>
        <w:tc>
          <w:tcPr>
            <w:tcW w:w="2977" w:type="dxa"/>
            <w:gridSpan w:val="2"/>
            <w:tcBorders>
              <w:top w:val="nil"/>
              <w:left w:val="nil"/>
              <w:bottom w:val="nil"/>
              <w:right w:val="nil"/>
            </w:tcBorders>
            <w:shd w:val="clear" w:color="auto" w:fill="auto"/>
            <w:noWrap/>
            <w:vAlign w:val="bottom"/>
            <w:hideMark/>
          </w:tcPr>
          <w:p w14:paraId="1EEF3ABF" w14:textId="2A7A93E7" w:rsidR="00EF7979" w:rsidRPr="001E59F1" w:rsidRDefault="00EF7979" w:rsidP="00EB19DA">
            <w:pPr>
              <w:spacing w:after="0"/>
              <w:ind w:firstLine="425"/>
              <w:rPr>
                <w:rFonts w:eastAsia="Times New Roman"/>
                <w:color w:val="000000"/>
                <w:sz w:val="24"/>
                <w:szCs w:val="24"/>
                <w:lang w:val="en-ID" w:eastAsia="en-ID"/>
              </w:rPr>
            </w:pPr>
            <w:r w:rsidRPr="001E59F1">
              <w:rPr>
                <w:rFonts w:eastAsia="Times New Roman"/>
                <w:color w:val="000000"/>
                <w:sz w:val="24"/>
                <w:szCs w:val="24"/>
                <w:lang w:val="en-ID" w:eastAsia="en-ID"/>
              </w:rPr>
              <w:t>Indonesia</w:t>
            </w:r>
            <w:r w:rsidR="006E640C">
              <w:rPr>
                <w:rFonts w:eastAsia="Times New Roman"/>
                <w:color w:val="000000"/>
                <w:sz w:val="24"/>
                <w:szCs w:val="24"/>
                <w:lang w:val="en-ID" w:eastAsia="en-ID"/>
              </w:rPr>
              <w:t>n</w:t>
            </w:r>
          </w:p>
        </w:tc>
        <w:tc>
          <w:tcPr>
            <w:tcW w:w="1509" w:type="dxa"/>
            <w:tcBorders>
              <w:top w:val="nil"/>
              <w:left w:val="nil"/>
              <w:bottom w:val="nil"/>
              <w:right w:val="nil"/>
            </w:tcBorders>
            <w:shd w:val="clear" w:color="auto" w:fill="auto"/>
            <w:noWrap/>
            <w:vAlign w:val="bottom"/>
            <w:hideMark/>
          </w:tcPr>
          <w:p w14:paraId="5AAD6742" w14:textId="77777777" w:rsidR="00EF7979" w:rsidRPr="001E59F1" w:rsidRDefault="00EF7979" w:rsidP="00EB19DA">
            <w:pPr>
              <w:spacing w:after="0"/>
              <w:ind w:firstLine="425"/>
              <w:jc w:val="right"/>
              <w:rPr>
                <w:rFonts w:eastAsia="Times New Roman"/>
                <w:color w:val="000000"/>
                <w:sz w:val="24"/>
                <w:szCs w:val="24"/>
                <w:lang w:val="en-ID" w:eastAsia="en-ID"/>
              </w:rPr>
            </w:pPr>
            <w:r w:rsidRPr="001E59F1">
              <w:rPr>
                <w:rFonts w:eastAsia="Times New Roman"/>
                <w:color w:val="000000"/>
                <w:sz w:val="24"/>
                <w:szCs w:val="24"/>
                <w:lang w:val="en-ID" w:eastAsia="en-ID"/>
              </w:rPr>
              <w:t>-</w:t>
            </w:r>
          </w:p>
        </w:tc>
        <w:tc>
          <w:tcPr>
            <w:tcW w:w="1586" w:type="dxa"/>
            <w:tcBorders>
              <w:top w:val="nil"/>
              <w:left w:val="nil"/>
              <w:bottom w:val="nil"/>
              <w:right w:val="nil"/>
            </w:tcBorders>
            <w:shd w:val="clear" w:color="auto" w:fill="auto"/>
            <w:noWrap/>
            <w:vAlign w:val="bottom"/>
            <w:hideMark/>
          </w:tcPr>
          <w:p w14:paraId="495F3FD1" w14:textId="77777777" w:rsidR="00EF7979" w:rsidRPr="001E59F1" w:rsidRDefault="00EF7979" w:rsidP="00EB19DA">
            <w:pPr>
              <w:spacing w:after="0"/>
              <w:ind w:firstLine="425"/>
              <w:jc w:val="right"/>
              <w:rPr>
                <w:rFonts w:eastAsia="Times New Roman"/>
                <w:color w:val="000000"/>
                <w:sz w:val="24"/>
                <w:szCs w:val="24"/>
                <w:lang w:val="en-ID" w:eastAsia="en-ID"/>
              </w:rPr>
            </w:pPr>
            <w:r w:rsidRPr="001E59F1">
              <w:rPr>
                <w:rFonts w:eastAsia="Times New Roman"/>
                <w:color w:val="000000"/>
                <w:sz w:val="24"/>
                <w:szCs w:val="24"/>
                <w:lang w:val="en-ID" w:eastAsia="en-ID"/>
              </w:rPr>
              <w:t>0,111</w:t>
            </w:r>
          </w:p>
        </w:tc>
        <w:tc>
          <w:tcPr>
            <w:tcW w:w="1396" w:type="dxa"/>
            <w:tcBorders>
              <w:top w:val="nil"/>
              <w:left w:val="nil"/>
              <w:bottom w:val="nil"/>
              <w:right w:val="nil"/>
            </w:tcBorders>
            <w:shd w:val="clear" w:color="auto" w:fill="auto"/>
            <w:noWrap/>
            <w:vAlign w:val="bottom"/>
            <w:hideMark/>
          </w:tcPr>
          <w:p w14:paraId="662023E4" w14:textId="77777777" w:rsidR="00EF7979" w:rsidRPr="001E59F1" w:rsidRDefault="00EF7979" w:rsidP="00EB19DA">
            <w:pPr>
              <w:spacing w:after="0"/>
              <w:ind w:firstLine="425"/>
              <w:jc w:val="right"/>
              <w:rPr>
                <w:rFonts w:eastAsia="Times New Roman"/>
                <w:color w:val="000000"/>
                <w:sz w:val="24"/>
                <w:szCs w:val="24"/>
                <w:lang w:val="en-ID" w:eastAsia="en-ID"/>
              </w:rPr>
            </w:pPr>
            <w:r w:rsidRPr="001E59F1">
              <w:rPr>
                <w:rFonts w:eastAsia="Times New Roman"/>
                <w:color w:val="000000"/>
                <w:sz w:val="24"/>
                <w:szCs w:val="24"/>
                <w:lang w:val="en-ID" w:eastAsia="en-ID"/>
              </w:rPr>
              <w:t>-0,048</w:t>
            </w:r>
          </w:p>
        </w:tc>
        <w:tc>
          <w:tcPr>
            <w:tcW w:w="1602" w:type="dxa"/>
            <w:tcBorders>
              <w:top w:val="nil"/>
              <w:left w:val="nil"/>
              <w:bottom w:val="nil"/>
              <w:right w:val="nil"/>
            </w:tcBorders>
            <w:shd w:val="clear" w:color="auto" w:fill="auto"/>
            <w:noWrap/>
            <w:vAlign w:val="bottom"/>
            <w:hideMark/>
          </w:tcPr>
          <w:p w14:paraId="7A0DE267" w14:textId="77777777" w:rsidR="00EF7979" w:rsidRPr="001E59F1" w:rsidRDefault="00EF7979" w:rsidP="00EB19DA">
            <w:pPr>
              <w:spacing w:after="0"/>
              <w:ind w:firstLine="425"/>
              <w:jc w:val="right"/>
              <w:rPr>
                <w:rFonts w:eastAsia="Times New Roman"/>
                <w:color w:val="000000"/>
                <w:sz w:val="24"/>
                <w:szCs w:val="24"/>
                <w:lang w:val="en-ID" w:eastAsia="en-ID"/>
              </w:rPr>
            </w:pPr>
            <w:r w:rsidRPr="001E59F1">
              <w:rPr>
                <w:rFonts w:eastAsia="Times New Roman"/>
                <w:color w:val="000000"/>
                <w:sz w:val="24"/>
                <w:szCs w:val="24"/>
                <w:lang w:val="en-ID" w:eastAsia="en-ID"/>
              </w:rPr>
              <w:t>-0,298</w:t>
            </w:r>
          </w:p>
        </w:tc>
      </w:tr>
      <w:tr w:rsidR="00EF7979" w:rsidRPr="001E59F1" w14:paraId="260FE1B5" w14:textId="77777777" w:rsidTr="00EC09E0">
        <w:trPr>
          <w:trHeight w:val="310"/>
        </w:trPr>
        <w:tc>
          <w:tcPr>
            <w:tcW w:w="2824" w:type="dxa"/>
            <w:tcBorders>
              <w:top w:val="nil"/>
              <w:left w:val="nil"/>
              <w:bottom w:val="nil"/>
              <w:right w:val="nil"/>
            </w:tcBorders>
            <w:shd w:val="clear" w:color="auto" w:fill="auto"/>
            <w:noWrap/>
            <w:vAlign w:val="bottom"/>
            <w:hideMark/>
          </w:tcPr>
          <w:p w14:paraId="5DF2FEAF" w14:textId="77777777" w:rsidR="00EF7979" w:rsidRPr="001E59F1" w:rsidRDefault="00EF7979" w:rsidP="00EB19DA">
            <w:pPr>
              <w:spacing w:after="0"/>
              <w:ind w:firstLine="425"/>
              <w:rPr>
                <w:rFonts w:eastAsia="Times New Roman"/>
                <w:color w:val="000000"/>
                <w:sz w:val="24"/>
                <w:szCs w:val="24"/>
                <w:lang w:val="en-ID" w:eastAsia="en-ID"/>
              </w:rPr>
            </w:pPr>
            <w:r w:rsidRPr="001E59F1">
              <w:rPr>
                <w:rFonts w:eastAsia="Times New Roman"/>
                <w:color w:val="000000"/>
                <w:sz w:val="24"/>
                <w:szCs w:val="24"/>
                <w:lang w:val="en-ID" w:eastAsia="en-ID"/>
              </w:rPr>
              <w:t>Thailand</w:t>
            </w:r>
          </w:p>
        </w:tc>
        <w:tc>
          <w:tcPr>
            <w:tcW w:w="1662" w:type="dxa"/>
            <w:gridSpan w:val="2"/>
            <w:tcBorders>
              <w:top w:val="nil"/>
              <w:left w:val="nil"/>
              <w:bottom w:val="nil"/>
              <w:right w:val="nil"/>
            </w:tcBorders>
            <w:shd w:val="clear" w:color="auto" w:fill="auto"/>
            <w:noWrap/>
            <w:vAlign w:val="bottom"/>
            <w:hideMark/>
          </w:tcPr>
          <w:p w14:paraId="4E2156A5" w14:textId="77777777" w:rsidR="00EF7979" w:rsidRPr="001E59F1" w:rsidRDefault="00EF7979" w:rsidP="00EB19DA">
            <w:pPr>
              <w:spacing w:after="0"/>
              <w:ind w:firstLine="425"/>
              <w:jc w:val="right"/>
              <w:rPr>
                <w:rFonts w:eastAsia="Times New Roman"/>
                <w:color w:val="000000"/>
                <w:sz w:val="24"/>
                <w:szCs w:val="24"/>
                <w:lang w:val="en-ID" w:eastAsia="en-ID"/>
              </w:rPr>
            </w:pPr>
            <w:r w:rsidRPr="001E59F1">
              <w:rPr>
                <w:rFonts w:eastAsia="Times New Roman"/>
                <w:color w:val="000000"/>
                <w:sz w:val="24"/>
                <w:szCs w:val="24"/>
                <w:lang w:val="en-ID" w:eastAsia="en-ID"/>
              </w:rPr>
              <w:t>0,556</w:t>
            </w:r>
          </w:p>
        </w:tc>
        <w:tc>
          <w:tcPr>
            <w:tcW w:w="1586" w:type="dxa"/>
            <w:tcBorders>
              <w:top w:val="nil"/>
              <w:left w:val="nil"/>
              <w:bottom w:val="nil"/>
              <w:right w:val="nil"/>
            </w:tcBorders>
            <w:shd w:val="clear" w:color="auto" w:fill="auto"/>
            <w:noWrap/>
            <w:vAlign w:val="bottom"/>
            <w:hideMark/>
          </w:tcPr>
          <w:p w14:paraId="7005C4F7" w14:textId="77777777" w:rsidR="00EF7979" w:rsidRPr="001E59F1" w:rsidRDefault="00EF7979" w:rsidP="00EB19DA">
            <w:pPr>
              <w:spacing w:after="0"/>
              <w:ind w:firstLine="425"/>
              <w:jc w:val="right"/>
              <w:rPr>
                <w:rFonts w:eastAsia="Times New Roman"/>
                <w:color w:val="000000"/>
                <w:sz w:val="24"/>
                <w:szCs w:val="24"/>
                <w:lang w:val="en-ID" w:eastAsia="en-ID"/>
              </w:rPr>
            </w:pPr>
            <w:r w:rsidRPr="001E59F1">
              <w:rPr>
                <w:rFonts w:eastAsia="Times New Roman"/>
                <w:color w:val="000000"/>
                <w:sz w:val="24"/>
                <w:szCs w:val="24"/>
                <w:lang w:val="en-ID" w:eastAsia="en-ID"/>
              </w:rPr>
              <w:t>-</w:t>
            </w:r>
          </w:p>
        </w:tc>
        <w:tc>
          <w:tcPr>
            <w:tcW w:w="1396" w:type="dxa"/>
            <w:tcBorders>
              <w:top w:val="nil"/>
              <w:left w:val="nil"/>
              <w:bottom w:val="nil"/>
              <w:right w:val="nil"/>
            </w:tcBorders>
            <w:shd w:val="clear" w:color="auto" w:fill="auto"/>
            <w:noWrap/>
            <w:vAlign w:val="bottom"/>
            <w:hideMark/>
          </w:tcPr>
          <w:p w14:paraId="28622D72" w14:textId="77777777" w:rsidR="00EF7979" w:rsidRPr="001E59F1" w:rsidRDefault="00EF7979" w:rsidP="00EB19DA">
            <w:pPr>
              <w:spacing w:after="0"/>
              <w:ind w:firstLine="425"/>
              <w:jc w:val="right"/>
              <w:rPr>
                <w:rFonts w:eastAsia="Times New Roman"/>
                <w:color w:val="000000"/>
                <w:sz w:val="24"/>
                <w:szCs w:val="24"/>
                <w:lang w:val="en-ID" w:eastAsia="en-ID"/>
              </w:rPr>
            </w:pPr>
            <w:r w:rsidRPr="001E59F1">
              <w:rPr>
                <w:rFonts w:eastAsia="Times New Roman"/>
                <w:color w:val="000000"/>
                <w:sz w:val="24"/>
                <w:szCs w:val="24"/>
                <w:lang w:val="en-ID" w:eastAsia="en-ID"/>
              </w:rPr>
              <w:t>0,425</w:t>
            </w:r>
          </w:p>
        </w:tc>
        <w:tc>
          <w:tcPr>
            <w:tcW w:w="1602" w:type="dxa"/>
            <w:tcBorders>
              <w:top w:val="nil"/>
              <w:left w:val="nil"/>
              <w:bottom w:val="nil"/>
              <w:right w:val="nil"/>
            </w:tcBorders>
            <w:shd w:val="clear" w:color="auto" w:fill="auto"/>
            <w:noWrap/>
            <w:vAlign w:val="bottom"/>
            <w:hideMark/>
          </w:tcPr>
          <w:p w14:paraId="59762FAD" w14:textId="77777777" w:rsidR="00EF7979" w:rsidRPr="001E59F1" w:rsidRDefault="00EF7979" w:rsidP="00EB19DA">
            <w:pPr>
              <w:spacing w:after="0"/>
              <w:ind w:firstLine="425"/>
              <w:jc w:val="right"/>
              <w:rPr>
                <w:rFonts w:eastAsia="Times New Roman"/>
                <w:color w:val="000000"/>
                <w:sz w:val="24"/>
                <w:szCs w:val="24"/>
                <w:lang w:val="en-ID" w:eastAsia="en-ID"/>
              </w:rPr>
            </w:pPr>
            <w:r w:rsidRPr="001E59F1">
              <w:rPr>
                <w:rFonts w:eastAsia="Times New Roman"/>
                <w:color w:val="000000"/>
                <w:sz w:val="24"/>
                <w:szCs w:val="24"/>
                <w:lang w:val="en-ID" w:eastAsia="en-ID"/>
              </w:rPr>
              <w:t>0,285</w:t>
            </w:r>
          </w:p>
        </w:tc>
      </w:tr>
      <w:tr w:rsidR="00EF7979" w:rsidRPr="001E59F1" w14:paraId="0E5A9AF7" w14:textId="77777777" w:rsidTr="00EC09E0">
        <w:trPr>
          <w:trHeight w:val="310"/>
        </w:trPr>
        <w:tc>
          <w:tcPr>
            <w:tcW w:w="2824" w:type="dxa"/>
            <w:tcBorders>
              <w:top w:val="nil"/>
              <w:left w:val="nil"/>
              <w:bottom w:val="nil"/>
              <w:right w:val="nil"/>
            </w:tcBorders>
            <w:shd w:val="clear" w:color="auto" w:fill="auto"/>
            <w:noWrap/>
            <w:vAlign w:val="bottom"/>
            <w:hideMark/>
          </w:tcPr>
          <w:p w14:paraId="4A5298C5" w14:textId="64123B52" w:rsidR="00EF7979" w:rsidRPr="001E59F1" w:rsidRDefault="00EF7979" w:rsidP="00EB19DA">
            <w:pPr>
              <w:spacing w:after="0"/>
              <w:ind w:firstLine="425"/>
              <w:rPr>
                <w:rFonts w:eastAsia="Times New Roman"/>
                <w:color w:val="000000"/>
                <w:sz w:val="24"/>
                <w:szCs w:val="24"/>
                <w:lang w:val="en-ID" w:eastAsia="en-ID"/>
              </w:rPr>
            </w:pPr>
            <w:r w:rsidRPr="001E59F1">
              <w:rPr>
                <w:rFonts w:eastAsia="Times New Roman"/>
                <w:color w:val="000000"/>
                <w:sz w:val="24"/>
                <w:szCs w:val="24"/>
                <w:lang w:val="en-ID" w:eastAsia="en-ID"/>
              </w:rPr>
              <w:t>India</w:t>
            </w:r>
            <w:r w:rsidR="006E640C">
              <w:rPr>
                <w:rFonts w:eastAsia="Times New Roman"/>
                <w:color w:val="000000"/>
                <w:sz w:val="24"/>
                <w:szCs w:val="24"/>
                <w:lang w:val="en-ID" w:eastAsia="en-ID"/>
              </w:rPr>
              <w:t>n</w:t>
            </w:r>
            <w:r w:rsidRPr="001E59F1">
              <w:rPr>
                <w:rFonts w:eastAsia="Times New Roman"/>
                <w:color w:val="000000"/>
                <w:sz w:val="24"/>
                <w:szCs w:val="24"/>
                <w:lang w:val="en-ID" w:eastAsia="en-ID"/>
              </w:rPr>
              <w:t xml:space="preserve"> </w:t>
            </w:r>
          </w:p>
        </w:tc>
        <w:tc>
          <w:tcPr>
            <w:tcW w:w="1662" w:type="dxa"/>
            <w:gridSpan w:val="2"/>
            <w:tcBorders>
              <w:top w:val="nil"/>
              <w:left w:val="nil"/>
              <w:bottom w:val="nil"/>
              <w:right w:val="nil"/>
            </w:tcBorders>
            <w:shd w:val="clear" w:color="auto" w:fill="auto"/>
            <w:noWrap/>
            <w:vAlign w:val="bottom"/>
            <w:hideMark/>
          </w:tcPr>
          <w:p w14:paraId="5DBBAA5C" w14:textId="77777777" w:rsidR="00EF7979" w:rsidRPr="001E59F1" w:rsidRDefault="00EF7979" w:rsidP="00EB19DA">
            <w:pPr>
              <w:spacing w:after="0"/>
              <w:ind w:firstLine="425"/>
              <w:jc w:val="right"/>
              <w:rPr>
                <w:rFonts w:eastAsia="Times New Roman"/>
                <w:color w:val="000000"/>
                <w:sz w:val="24"/>
                <w:szCs w:val="24"/>
                <w:lang w:val="en-ID" w:eastAsia="en-ID"/>
              </w:rPr>
            </w:pPr>
            <w:r w:rsidRPr="001E59F1">
              <w:rPr>
                <w:rFonts w:eastAsia="Times New Roman"/>
                <w:color w:val="000000"/>
                <w:sz w:val="24"/>
                <w:szCs w:val="24"/>
                <w:lang w:val="en-ID" w:eastAsia="en-ID"/>
              </w:rPr>
              <w:t>-0,589</w:t>
            </w:r>
          </w:p>
        </w:tc>
        <w:tc>
          <w:tcPr>
            <w:tcW w:w="1586" w:type="dxa"/>
            <w:tcBorders>
              <w:top w:val="nil"/>
              <w:left w:val="nil"/>
              <w:bottom w:val="nil"/>
              <w:right w:val="nil"/>
            </w:tcBorders>
            <w:shd w:val="clear" w:color="auto" w:fill="auto"/>
            <w:noWrap/>
            <w:vAlign w:val="bottom"/>
            <w:hideMark/>
          </w:tcPr>
          <w:p w14:paraId="038381BD" w14:textId="77777777" w:rsidR="00EF7979" w:rsidRPr="001E59F1" w:rsidRDefault="00EF7979" w:rsidP="00EB19DA">
            <w:pPr>
              <w:spacing w:after="0"/>
              <w:ind w:firstLine="425"/>
              <w:jc w:val="right"/>
              <w:rPr>
                <w:rFonts w:eastAsia="Times New Roman"/>
                <w:color w:val="000000"/>
                <w:sz w:val="24"/>
                <w:szCs w:val="24"/>
                <w:lang w:val="en-ID" w:eastAsia="en-ID"/>
              </w:rPr>
            </w:pPr>
            <w:r w:rsidRPr="001E59F1">
              <w:rPr>
                <w:rFonts w:eastAsia="Times New Roman"/>
                <w:color w:val="000000"/>
                <w:sz w:val="24"/>
                <w:szCs w:val="24"/>
                <w:lang w:val="en-ID" w:eastAsia="en-ID"/>
              </w:rPr>
              <w:t>1,038</w:t>
            </w:r>
          </w:p>
        </w:tc>
        <w:tc>
          <w:tcPr>
            <w:tcW w:w="1396" w:type="dxa"/>
            <w:tcBorders>
              <w:top w:val="nil"/>
              <w:left w:val="nil"/>
              <w:bottom w:val="nil"/>
              <w:right w:val="nil"/>
            </w:tcBorders>
            <w:shd w:val="clear" w:color="auto" w:fill="auto"/>
            <w:noWrap/>
            <w:vAlign w:val="bottom"/>
            <w:hideMark/>
          </w:tcPr>
          <w:p w14:paraId="6714DBDE" w14:textId="77777777" w:rsidR="00EF7979" w:rsidRPr="001E59F1" w:rsidRDefault="00EF7979" w:rsidP="00EB19DA">
            <w:pPr>
              <w:spacing w:after="0"/>
              <w:ind w:firstLine="425"/>
              <w:jc w:val="right"/>
              <w:rPr>
                <w:rFonts w:eastAsia="Times New Roman"/>
                <w:color w:val="000000"/>
                <w:sz w:val="24"/>
                <w:szCs w:val="24"/>
                <w:lang w:val="en-ID" w:eastAsia="en-ID"/>
              </w:rPr>
            </w:pPr>
            <w:r w:rsidRPr="001E59F1">
              <w:rPr>
                <w:rFonts w:eastAsia="Times New Roman"/>
                <w:color w:val="000000"/>
                <w:sz w:val="24"/>
                <w:szCs w:val="24"/>
                <w:lang w:val="en-ID" w:eastAsia="en-ID"/>
              </w:rPr>
              <w:t>-</w:t>
            </w:r>
          </w:p>
        </w:tc>
        <w:tc>
          <w:tcPr>
            <w:tcW w:w="1602" w:type="dxa"/>
            <w:tcBorders>
              <w:top w:val="nil"/>
              <w:left w:val="nil"/>
              <w:bottom w:val="nil"/>
              <w:right w:val="nil"/>
            </w:tcBorders>
            <w:shd w:val="clear" w:color="auto" w:fill="auto"/>
            <w:noWrap/>
            <w:vAlign w:val="bottom"/>
            <w:hideMark/>
          </w:tcPr>
          <w:p w14:paraId="2643B3EF" w14:textId="77777777" w:rsidR="00EF7979" w:rsidRPr="001E59F1" w:rsidRDefault="00EF7979" w:rsidP="00EB19DA">
            <w:pPr>
              <w:spacing w:after="0"/>
              <w:ind w:firstLine="425"/>
              <w:jc w:val="right"/>
              <w:rPr>
                <w:rFonts w:eastAsia="Times New Roman"/>
                <w:color w:val="000000"/>
                <w:sz w:val="24"/>
                <w:szCs w:val="24"/>
                <w:lang w:val="en-ID" w:eastAsia="en-ID"/>
              </w:rPr>
            </w:pPr>
            <w:r w:rsidRPr="001E59F1">
              <w:rPr>
                <w:rFonts w:eastAsia="Times New Roman"/>
                <w:color w:val="000000"/>
                <w:sz w:val="24"/>
                <w:szCs w:val="24"/>
                <w:lang w:val="en-ID" w:eastAsia="en-ID"/>
              </w:rPr>
              <w:t>0,130</w:t>
            </w:r>
          </w:p>
        </w:tc>
      </w:tr>
      <w:tr w:rsidR="00EF7979" w:rsidRPr="001E59F1" w14:paraId="5ACB131F" w14:textId="77777777" w:rsidTr="00EC09E0">
        <w:trPr>
          <w:trHeight w:val="310"/>
        </w:trPr>
        <w:tc>
          <w:tcPr>
            <w:tcW w:w="2824" w:type="dxa"/>
            <w:tcBorders>
              <w:top w:val="nil"/>
              <w:left w:val="nil"/>
              <w:bottom w:val="single" w:sz="4" w:space="0" w:color="auto"/>
              <w:right w:val="nil"/>
            </w:tcBorders>
            <w:shd w:val="clear" w:color="auto" w:fill="auto"/>
            <w:noWrap/>
            <w:vAlign w:val="bottom"/>
            <w:hideMark/>
          </w:tcPr>
          <w:p w14:paraId="44F79F9E" w14:textId="77777777" w:rsidR="00EF7979" w:rsidRPr="001E59F1" w:rsidRDefault="00EF7979" w:rsidP="00EB19DA">
            <w:pPr>
              <w:spacing w:after="0"/>
              <w:ind w:firstLine="425"/>
              <w:rPr>
                <w:rFonts w:eastAsia="Times New Roman"/>
                <w:color w:val="000000"/>
                <w:sz w:val="24"/>
                <w:szCs w:val="24"/>
                <w:lang w:val="en-ID" w:eastAsia="en-ID"/>
              </w:rPr>
            </w:pPr>
            <w:r w:rsidRPr="001E59F1">
              <w:rPr>
                <w:rFonts w:eastAsia="Times New Roman"/>
                <w:color w:val="000000"/>
                <w:sz w:val="24"/>
                <w:szCs w:val="24"/>
                <w:lang w:val="en-ID" w:eastAsia="en-ID"/>
              </w:rPr>
              <w:t>Myanmar</w:t>
            </w:r>
          </w:p>
        </w:tc>
        <w:tc>
          <w:tcPr>
            <w:tcW w:w="1662" w:type="dxa"/>
            <w:gridSpan w:val="2"/>
            <w:tcBorders>
              <w:top w:val="nil"/>
              <w:left w:val="nil"/>
              <w:bottom w:val="single" w:sz="4" w:space="0" w:color="auto"/>
              <w:right w:val="nil"/>
            </w:tcBorders>
            <w:shd w:val="clear" w:color="auto" w:fill="auto"/>
            <w:noWrap/>
            <w:vAlign w:val="bottom"/>
            <w:hideMark/>
          </w:tcPr>
          <w:p w14:paraId="6AB3387A" w14:textId="77777777" w:rsidR="00EF7979" w:rsidRPr="001E59F1" w:rsidRDefault="00EF7979" w:rsidP="00EB19DA">
            <w:pPr>
              <w:spacing w:after="0"/>
              <w:ind w:firstLine="425"/>
              <w:jc w:val="right"/>
              <w:rPr>
                <w:rFonts w:eastAsia="Times New Roman"/>
                <w:color w:val="000000"/>
                <w:sz w:val="24"/>
                <w:szCs w:val="24"/>
                <w:lang w:val="en-ID" w:eastAsia="en-ID"/>
              </w:rPr>
            </w:pPr>
            <w:r w:rsidRPr="001E59F1">
              <w:rPr>
                <w:rFonts w:eastAsia="Times New Roman"/>
                <w:color w:val="000000"/>
                <w:sz w:val="24"/>
                <w:szCs w:val="24"/>
                <w:lang w:val="en-ID" w:eastAsia="en-ID"/>
              </w:rPr>
              <w:t>-1,251</w:t>
            </w:r>
          </w:p>
        </w:tc>
        <w:tc>
          <w:tcPr>
            <w:tcW w:w="1586" w:type="dxa"/>
            <w:tcBorders>
              <w:top w:val="nil"/>
              <w:left w:val="nil"/>
              <w:bottom w:val="single" w:sz="4" w:space="0" w:color="auto"/>
              <w:right w:val="nil"/>
            </w:tcBorders>
            <w:shd w:val="clear" w:color="auto" w:fill="auto"/>
            <w:noWrap/>
            <w:vAlign w:val="bottom"/>
            <w:hideMark/>
          </w:tcPr>
          <w:p w14:paraId="788A967B" w14:textId="77777777" w:rsidR="00EF7979" w:rsidRPr="001E59F1" w:rsidRDefault="00EF7979" w:rsidP="00EB19DA">
            <w:pPr>
              <w:spacing w:after="0"/>
              <w:ind w:firstLine="425"/>
              <w:jc w:val="right"/>
              <w:rPr>
                <w:rFonts w:eastAsia="Times New Roman"/>
                <w:color w:val="000000"/>
                <w:sz w:val="24"/>
                <w:szCs w:val="24"/>
                <w:lang w:val="en-ID" w:eastAsia="en-ID"/>
              </w:rPr>
            </w:pPr>
            <w:r w:rsidRPr="001E59F1">
              <w:rPr>
                <w:rFonts w:eastAsia="Times New Roman"/>
                <w:color w:val="000000"/>
                <w:sz w:val="24"/>
                <w:szCs w:val="24"/>
                <w:lang w:val="en-ID" w:eastAsia="en-ID"/>
              </w:rPr>
              <w:t>0,240</w:t>
            </w:r>
          </w:p>
        </w:tc>
        <w:tc>
          <w:tcPr>
            <w:tcW w:w="1396" w:type="dxa"/>
            <w:tcBorders>
              <w:top w:val="nil"/>
              <w:left w:val="nil"/>
              <w:bottom w:val="single" w:sz="4" w:space="0" w:color="auto"/>
              <w:right w:val="nil"/>
            </w:tcBorders>
            <w:shd w:val="clear" w:color="auto" w:fill="auto"/>
            <w:noWrap/>
            <w:vAlign w:val="bottom"/>
            <w:hideMark/>
          </w:tcPr>
          <w:p w14:paraId="77BBD7AE" w14:textId="77777777" w:rsidR="00EF7979" w:rsidRPr="001E59F1" w:rsidRDefault="00EF7979" w:rsidP="00EB19DA">
            <w:pPr>
              <w:spacing w:after="0"/>
              <w:ind w:firstLine="425"/>
              <w:jc w:val="right"/>
              <w:rPr>
                <w:rFonts w:eastAsia="Times New Roman"/>
                <w:color w:val="000000"/>
                <w:sz w:val="24"/>
                <w:szCs w:val="24"/>
                <w:lang w:val="en-ID" w:eastAsia="en-ID"/>
              </w:rPr>
            </w:pPr>
            <w:r w:rsidRPr="001E59F1">
              <w:rPr>
                <w:rFonts w:eastAsia="Times New Roman"/>
                <w:color w:val="000000"/>
                <w:sz w:val="24"/>
                <w:szCs w:val="24"/>
                <w:lang w:val="en-ID" w:eastAsia="en-ID"/>
              </w:rPr>
              <w:t>0,045</w:t>
            </w:r>
          </w:p>
        </w:tc>
        <w:tc>
          <w:tcPr>
            <w:tcW w:w="1602" w:type="dxa"/>
            <w:tcBorders>
              <w:top w:val="nil"/>
              <w:left w:val="nil"/>
              <w:bottom w:val="single" w:sz="4" w:space="0" w:color="auto"/>
              <w:right w:val="nil"/>
            </w:tcBorders>
            <w:shd w:val="clear" w:color="auto" w:fill="auto"/>
            <w:noWrap/>
            <w:vAlign w:val="bottom"/>
            <w:hideMark/>
          </w:tcPr>
          <w:p w14:paraId="7C4E16BC" w14:textId="77777777" w:rsidR="00EF7979" w:rsidRPr="001E59F1" w:rsidRDefault="00EF7979" w:rsidP="00EB19DA">
            <w:pPr>
              <w:spacing w:after="0"/>
              <w:ind w:firstLine="425"/>
              <w:jc w:val="right"/>
              <w:rPr>
                <w:rFonts w:eastAsia="Times New Roman"/>
                <w:color w:val="000000"/>
                <w:sz w:val="24"/>
                <w:szCs w:val="24"/>
                <w:lang w:val="en-ID" w:eastAsia="en-ID"/>
              </w:rPr>
            </w:pPr>
            <w:r w:rsidRPr="001E59F1">
              <w:rPr>
                <w:rFonts w:eastAsia="Times New Roman"/>
                <w:color w:val="000000"/>
                <w:sz w:val="24"/>
                <w:szCs w:val="24"/>
                <w:lang w:val="en-ID" w:eastAsia="en-ID"/>
              </w:rPr>
              <w:t>-</w:t>
            </w:r>
          </w:p>
        </w:tc>
      </w:tr>
    </w:tbl>
    <w:p w14:paraId="206A304A" w14:textId="74903232" w:rsidR="001D3C57" w:rsidRPr="001E59F1" w:rsidRDefault="004629DA" w:rsidP="00EC09E0">
      <w:pPr>
        <w:spacing w:after="240"/>
        <w:ind w:firstLine="425"/>
        <w:jc w:val="both"/>
        <w:rPr>
          <w:sz w:val="24"/>
          <w:szCs w:val="24"/>
        </w:rPr>
      </w:pPr>
      <w:r w:rsidRPr="004629DA">
        <w:rPr>
          <w:sz w:val="24"/>
          <w:szCs w:val="24"/>
        </w:rPr>
        <w:t>Source: processed 2025</w:t>
      </w:r>
    </w:p>
    <w:p w14:paraId="7BFA7128" w14:textId="4C50BA41" w:rsidR="0038318D" w:rsidRDefault="0038318D" w:rsidP="00EB19DA">
      <w:pPr>
        <w:spacing w:after="0"/>
        <w:ind w:firstLine="425"/>
        <w:jc w:val="both"/>
        <w:rPr>
          <w:rFonts w:eastAsia="Times New Roman"/>
          <w:sz w:val="24"/>
          <w:szCs w:val="24"/>
          <w:lang w:val="en-ID" w:eastAsia="en-ID"/>
        </w:rPr>
      </w:pPr>
      <w:r w:rsidRPr="0038318D">
        <w:rPr>
          <w:rFonts w:eastAsia="Times New Roman"/>
          <w:sz w:val="24"/>
          <w:szCs w:val="24"/>
          <w:lang w:val="en-ID" w:eastAsia="en-ID"/>
        </w:rPr>
        <w:t xml:space="preserve">Based on the estimation results in Table </w:t>
      </w:r>
      <w:r w:rsidR="00A53A89">
        <w:rPr>
          <w:rFonts w:eastAsia="Times New Roman"/>
          <w:sz w:val="24"/>
          <w:szCs w:val="24"/>
          <w:lang w:val="en-ID" w:eastAsia="en-ID"/>
        </w:rPr>
        <w:t>4</w:t>
      </w:r>
      <w:r w:rsidRPr="0038318D">
        <w:rPr>
          <w:rFonts w:eastAsia="Times New Roman"/>
          <w:sz w:val="24"/>
          <w:szCs w:val="24"/>
          <w:lang w:val="en-ID" w:eastAsia="en-ID"/>
        </w:rPr>
        <w:t>, the cross-price elasticities of areca nut exports indicate both substitutive and complementary relationships between Indonesia and other major exporters such as Thailand, India, and Myanmar. These compensated elasticity values reflect how changes in the price of areca nuts from one country affect the demand for areca nuts from another country.</w:t>
      </w:r>
      <w:r w:rsidR="00C06D30">
        <w:rPr>
          <w:rFonts w:eastAsia="Times New Roman"/>
          <w:sz w:val="24"/>
          <w:szCs w:val="24"/>
          <w:lang w:val="en-ID" w:eastAsia="en-ID"/>
        </w:rPr>
        <w:t xml:space="preserve"> A</w:t>
      </w:r>
      <w:r w:rsidRPr="0038318D">
        <w:rPr>
          <w:rFonts w:eastAsia="Times New Roman"/>
          <w:sz w:val="24"/>
          <w:szCs w:val="24"/>
          <w:lang w:val="en-ID" w:eastAsia="en-ID"/>
        </w:rPr>
        <w:t xml:space="preserve"> positive cross-price elasticity implies a substitutive relationship, where an increase in the price of one good leads to an increase in the demand for another</w:t>
      </w:r>
      <w:r w:rsidR="00C06D30">
        <w:rPr>
          <w:rFonts w:eastAsia="Times New Roman"/>
          <w:sz w:val="24"/>
          <w:szCs w:val="24"/>
          <w:lang w:val="en-ID" w:eastAsia="en-ID"/>
        </w:rPr>
        <w:t xml:space="preserve"> (</w:t>
      </w:r>
      <w:r w:rsidR="00C06D30" w:rsidRPr="004629DA">
        <w:rPr>
          <w:rFonts w:eastAsia="Times New Roman"/>
          <w:color w:val="2F5496" w:themeColor="accent5" w:themeShade="BF"/>
          <w:sz w:val="24"/>
          <w:szCs w:val="24"/>
          <w:lang w:val="en-ID" w:eastAsia="en-ID"/>
        </w:rPr>
        <w:t xml:space="preserve">Mankiw 2006; </w:t>
      </w:r>
      <w:proofErr w:type="spellStart"/>
      <w:r w:rsidR="00C06D30" w:rsidRPr="004629DA">
        <w:rPr>
          <w:color w:val="2F5496" w:themeColor="accent5" w:themeShade="BF"/>
          <w:sz w:val="24"/>
          <w:szCs w:val="24"/>
        </w:rPr>
        <w:t>Harianto</w:t>
      </w:r>
      <w:proofErr w:type="spellEnd"/>
      <w:r w:rsidR="00C06D30" w:rsidRPr="004629DA">
        <w:rPr>
          <w:color w:val="2F5496" w:themeColor="accent5" w:themeShade="BF"/>
          <w:sz w:val="24"/>
          <w:szCs w:val="24"/>
        </w:rPr>
        <w:t xml:space="preserve"> et al. 2022</w:t>
      </w:r>
      <w:r w:rsidR="00C06D30">
        <w:t>)</w:t>
      </w:r>
      <w:r w:rsidRPr="0038318D">
        <w:rPr>
          <w:rFonts w:eastAsia="Times New Roman"/>
          <w:sz w:val="24"/>
          <w:szCs w:val="24"/>
          <w:lang w:val="en-ID" w:eastAsia="en-ID"/>
        </w:rPr>
        <w:t>. Conversely, a negative value implies complementarity, where an increase in the price of one product leads to a decline in the demand for the other.</w:t>
      </w:r>
    </w:p>
    <w:p w14:paraId="3D9FFF2E" w14:textId="121DB94A" w:rsidR="00DC7DE8" w:rsidRDefault="00DC7DE8" w:rsidP="00EB19DA">
      <w:pPr>
        <w:spacing w:after="0"/>
        <w:ind w:firstLine="425"/>
        <w:jc w:val="both"/>
        <w:rPr>
          <w:rFonts w:eastAsia="Times New Roman"/>
          <w:sz w:val="24"/>
          <w:szCs w:val="24"/>
          <w:lang w:eastAsia="en-ID"/>
        </w:rPr>
      </w:pPr>
      <w:r w:rsidRPr="00DC7DE8">
        <w:rPr>
          <w:rFonts w:eastAsia="Times New Roman"/>
          <w:sz w:val="24"/>
          <w:szCs w:val="24"/>
          <w:lang w:eastAsia="en-ID"/>
        </w:rPr>
        <w:t xml:space="preserve">The relationship between Indonesia’s areca nut and those from India and Myanmar shows complementarity, indicated by negative cross-price elasticity values of -0.048 and -0.298, respectively. For instance, a 10% increase in Myanmar's areca nut price would reduce the demand for Indonesian areca nut by 2.98%. This suggests that these products may be consumed </w:t>
      </w:r>
      <w:r w:rsidRPr="00DC7DE8">
        <w:rPr>
          <w:rFonts w:eastAsia="Times New Roman"/>
          <w:sz w:val="24"/>
          <w:szCs w:val="24"/>
          <w:lang w:eastAsia="en-ID"/>
        </w:rPr>
        <w:lastRenderedPageBreak/>
        <w:t>or utilized jointly rather than as direct substitutes, indicating limited competitive overlap in the global market. Such complementary relationships are often observed in niche commodity markets, where consumption patterns or processing technologies require inputs from multiple sources rather than substitution (</w:t>
      </w:r>
      <w:r w:rsidRPr="00DC7DE8">
        <w:rPr>
          <w:rFonts w:eastAsia="Times New Roman"/>
          <w:color w:val="2F5496" w:themeColor="accent5" w:themeShade="BF"/>
          <w:sz w:val="24"/>
          <w:szCs w:val="24"/>
          <w:lang w:eastAsia="en-ID"/>
        </w:rPr>
        <w:t>Santosa et al., 2018; Hidayah et al., 2022</w:t>
      </w:r>
      <w:proofErr w:type="gramStart"/>
      <w:r w:rsidRPr="00DC7DE8">
        <w:rPr>
          <w:rFonts w:eastAsia="Times New Roman"/>
          <w:color w:val="2F5496" w:themeColor="accent5" w:themeShade="BF"/>
          <w:sz w:val="24"/>
          <w:szCs w:val="24"/>
          <w:lang w:eastAsia="en-ID"/>
        </w:rPr>
        <w:t xml:space="preserve">; </w:t>
      </w:r>
      <w:r w:rsidRPr="00DC7DE8">
        <w:rPr>
          <w:rFonts w:eastAsia="Times New Roman"/>
          <w:sz w:val="24"/>
          <w:szCs w:val="24"/>
          <w:lang w:eastAsia="en-ID"/>
        </w:rPr>
        <w:t>)</w:t>
      </w:r>
      <w:proofErr w:type="gramEnd"/>
      <w:r w:rsidRPr="00DC7DE8">
        <w:rPr>
          <w:rFonts w:eastAsia="Times New Roman"/>
          <w:sz w:val="24"/>
          <w:szCs w:val="24"/>
          <w:lang w:eastAsia="en-ID"/>
        </w:rPr>
        <w:t xml:space="preserve">. These findings align with the theory proposed by </w:t>
      </w:r>
      <w:r w:rsidRPr="00DC7DE8">
        <w:rPr>
          <w:rFonts w:eastAsia="Times New Roman"/>
          <w:color w:val="2F5496" w:themeColor="accent5" w:themeShade="BF"/>
          <w:sz w:val="24"/>
          <w:szCs w:val="24"/>
          <w:lang w:eastAsia="en-ID"/>
        </w:rPr>
        <w:t>Mankiw (2006</w:t>
      </w:r>
      <w:r w:rsidRPr="00DC7DE8">
        <w:rPr>
          <w:rFonts w:eastAsia="Times New Roman"/>
          <w:sz w:val="24"/>
          <w:szCs w:val="24"/>
          <w:lang w:eastAsia="en-ID"/>
        </w:rPr>
        <w:t>), which explains that goods with negative cross-price elasticity are typically complementary in nature.</w:t>
      </w:r>
    </w:p>
    <w:p w14:paraId="03156648" w14:textId="20176C3C" w:rsidR="006C56EA" w:rsidRPr="0038318D" w:rsidRDefault="0038318D" w:rsidP="00EB19DA">
      <w:pPr>
        <w:spacing w:after="0"/>
        <w:ind w:firstLine="425"/>
        <w:jc w:val="both"/>
        <w:rPr>
          <w:rFonts w:eastAsia="Times New Roman"/>
          <w:sz w:val="24"/>
          <w:szCs w:val="24"/>
          <w:lang w:val="en-ID" w:eastAsia="en-ID"/>
        </w:rPr>
      </w:pPr>
      <w:r w:rsidRPr="0038318D">
        <w:rPr>
          <w:rFonts w:eastAsia="Times New Roman"/>
          <w:sz w:val="24"/>
          <w:szCs w:val="24"/>
          <w:lang w:val="en-ID" w:eastAsia="en-ID"/>
        </w:rPr>
        <w:t xml:space="preserve">In contrast, the relationship between Indonesia and Thailand is characterized as substitutive, with a cross-price elasticity of 0.111. Although the value is relatively low, it suggests that a 10% increase in Thailand’s areca nut price may lead to a 1.11% increase in demand for Indonesian areca nut. This implies a degree of market competition between the two countries, highlighting the need for Indonesia to monitor Thailand’s pricing trends to respond effectively to potential shifts in global market preferences. These findings are consistent with the theoretical framework of cross-price elasticity as discussed by </w:t>
      </w:r>
      <w:r w:rsidRPr="0038318D">
        <w:rPr>
          <w:rFonts w:eastAsia="Times New Roman"/>
          <w:color w:val="2F5496" w:themeColor="accent5" w:themeShade="BF"/>
          <w:sz w:val="24"/>
          <w:szCs w:val="24"/>
          <w:lang w:val="en-ID" w:eastAsia="en-ID"/>
        </w:rPr>
        <w:t xml:space="preserve">Mankiw </w:t>
      </w:r>
      <w:r w:rsidRPr="0038318D">
        <w:rPr>
          <w:rFonts w:eastAsia="Times New Roman"/>
          <w:sz w:val="24"/>
          <w:szCs w:val="24"/>
          <w:lang w:val="en-ID" w:eastAsia="en-ID"/>
        </w:rPr>
        <w:t>(2006).</w:t>
      </w:r>
    </w:p>
    <w:p w14:paraId="41DD4509" w14:textId="185CCE36" w:rsidR="0038318D" w:rsidRPr="00EC09E0" w:rsidRDefault="0038318D" w:rsidP="00C14ED7">
      <w:pPr>
        <w:spacing w:after="200"/>
        <w:jc w:val="both"/>
        <w:rPr>
          <w:rFonts w:eastAsiaTheme="minorHAnsi"/>
          <w:b/>
          <w:bCs/>
          <w:color w:val="000000"/>
          <w:sz w:val="20"/>
          <w:szCs w:val="20"/>
        </w:rPr>
      </w:pPr>
      <w:r w:rsidRPr="00EC09E0">
        <w:rPr>
          <w:b/>
          <w:bCs/>
          <w:color w:val="000000"/>
          <w:sz w:val="20"/>
          <w:szCs w:val="20"/>
        </w:rPr>
        <w:t xml:space="preserve">Tabel </w:t>
      </w:r>
      <w:r w:rsidR="00A53A89" w:rsidRPr="00EC09E0">
        <w:rPr>
          <w:b/>
          <w:bCs/>
          <w:color w:val="000000"/>
          <w:sz w:val="20"/>
          <w:szCs w:val="20"/>
        </w:rPr>
        <w:t>5</w:t>
      </w:r>
      <w:r w:rsidR="006E640C" w:rsidRPr="00EC09E0">
        <w:rPr>
          <w:b/>
          <w:bCs/>
          <w:color w:val="000000"/>
          <w:sz w:val="20"/>
          <w:szCs w:val="20"/>
        </w:rPr>
        <w:t xml:space="preserve"> Elasticity of Expenditure on Areca Nut Commodities in Indonesia, Thailand, India, and Myanmar</w:t>
      </w:r>
    </w:p>
    <w:tbl>
      <w:tblPr>
        <w:tblW w:w="9072" w:type="dxa"/>
        <w:tblLook w:val="04A0" w:firstRow="1" w:lastRow="0" w:firstColumn="1" w:lastColumn="0" w:noHBand="0" w:noVBand="1"/>
      </w:tblPr>
      <w:tblGrid>
        <w:gridCol w:w="4678"/>
        <w:gridCol w:w="4394"/>
      </w:tblGrid>
      <w:tr w:rsidR="0038318D" w:rsidRPr="001E59F1" w14:paraId="635AF9D7" w14:textId="77777777" w:rsidTr="00117BBE">
        <w:trPr>
          <w:trHeight w:val="310"/>
        </w:trPr>
        <w:tc>
          <w:tcPr>
            <w:tcW w:w="4678" w:type="dxa"/>
            <w:tcBorders>
              <w:top w:val="single" w:sz="4" w:space="0" w:color="auto"/>
              <w:left w:val="nil"/>
              <w:bottom w:val="single" w:sz="4" w:space="0" w:color="auto"/>
              <w:right w:val="nil"/>
            </w:tcBorders>
            <w:noWrap/>
            <w:vAlign w:val="bottom"/>
            <w:hideMark/>
          </w:tcPr>
          <w:p w14:paraId="60AE436F" w14:textId="5239D358" w:rsidR="0038318D" w:rsidRPr="001E59F1" w:rsidRDefault="006E640C" w:rsidP="00EB19DA">
            <w:pPr>
              <w:spacing w:after="0"/>
              <w:ind w:firstLine="425"/>
              <w:rPr>
                <w:rFonts w:eastAsia="Times New Roman"/>
                <w:color w:val="000000"/>
                <w:sz w:val="24"/>
                <w:szCs w:val="24"/>
                <w:lang w:val="en-ID" w:eastAsia="en-ID"/>
              </w:rPr>
            </w:pPr>
            <w:r>
              <w:rPr>
                <w:rFonts w:eastAsia="Times New Roman"/>
                <w:color w:val="000000"/>
                <w:sz w:val="24"/>
                <w:szCs w:val="24"/>
                <w:lang w:val="en-ID" w:eastAsia="en-ID"/>
              </w:rPr>
              <w:t xml:space="preserve">Country </w:t>
            </w:r>
          </w:p>
        </w:tc>
        <w:tc>
          <w:tcPr>
            <w:tcW w:w="4394" w:type="dxa"/>
            <w:tcBorders>
              <w:top w:val="single" w:sz="4" w:space="0" w:color="auto"/>
              <w:left w:val="nil"/>
              <w:bottom w:val="single" w:sz="4" w:space="0" w:color="auto"/>
              <w:right w:val="nil"/>
            </w:tcBorders>
            <w:noWrap/>
            <w:vAlign w:val="bottom"/>
            <w:hideMark/>
          </w:tcPr>
          <w:p w14:paraId="185DD903" w14:textId="77777777" w:rsidR="0038318D" w:rsidRPr="001E59F1" w:rsidRDefault="0038318D" w:rsidP="00EB19DA">
            <w:pPr>
              <w:spacing w:after="0"/>
              <w:ind w:firstLine="425"/>
              <w:jc w:val="center"/>
              <w:rPr>
                <w:rFonts w:eastAsia="Times New Roman"/>
                <w:color w:val="000000"/>
                <w:sz w:val="24"/>
                <w:szCs w:val="24"/>
                <w:lang w:val="en-ID" w:eastAsia="en-ID"/>
              </w:rPr>
            </w:pPr>
            <w:proofErr w:type="spellStart"/>
            <w:r w:rsidRPr="001E59F1">
              <w:rPr>
                <w:rFonts w:eastAsia="Times New Roman"/>
                <w:color w:val="000000"/>
                <w:sz w:val="24"/>
                <w:szCs w:val="24"/>
                <w:lang w:val="en-ID" w:eastAsia="en-ID"/>
              </w:rPr>
              <w:t>Elatisitas</w:t>
            </w:r>
            <w:proofErr w:type="spellEnd"/>
            <w:r w:rsidRPr="001E59F1">
              <w:rPr>
                <w:rFonts w:eastAsia="Times New Roman"/>
                <w:color w:val="000000"/>
                <w:sz w:val="24"/>
                <w:szCs w:val="24"/>
                <w:lang w:val="en-ID" w:eastAsia="en-ID"/>
              </w:rPr>
              <w:t xml:space="preserve"> </w:t>
            </w:r>
            <w:proofErr w:type="spellStart"/>
            <w:r w:rsidRPr="001E59F1">
              <w:rPr>
                <w:rFonts w:eastAsia="Times New Roman"/>
                <w:color w:val="000000"/>
                <w:sz w:val="24"/>
                <w:szCs w:val="24"/>
                <w:lang w:val="en-ID" w:eastAsia="en-ID"/>
              </w:rPr>
              <w:t>Pengeluaran</w:t>
            </w:r>
            <w:proofErr w:type="spellEnd"/>
          </w:p>
        </w:tc>
      </w:tr>
      <w:tr w:rsidR="0038318D" w:rsidRPr="001E59F1" w14:paraId="342538C5" w14:textId="77777777" w:rsidTr="00117BBE">
        <w:trPr>
          <w:trHeight w:val="310"/>
        </w:trPr>
        <w:tc>
          <w:tcPr>
            <w:tcW w:w="4678" w:type="dxa"/>
            <w:noWrap/>
            <w:vAlign w:val="bottom"/>
            <w:hideMark/>
          </w:tcPr>
          <w:p w14:paraId="342F9E53" w14:textId="0F6DB455" w:rsidR="0038318D" w:rsidRPr="001E59F1" w:rsidRDefault="0038318D" w:rsidP="00EB19DA">
            <w:pPr>
              <w:spacing w:after="0"/>
              <w:ind w:firstLine="425"/>
              <w:rPr>
                <w:rFonts w:eastAsia="Times New Roman"/>
                <w:color w:val="000000"/>
                <w:sz w:val="24"/>
                <w:szCs w:val="24"/>
                <w:lang w:val="en-ID" w:eastAsia="en-ID"/>
              </w:rPr>
            </w:pPr>
            <w:r w:rsidRPr="001E59F1">
              <w:rPr>
                <w:rFonts w:eastAsia="Times New Roman"/>
                <w:color w:val="000000"/>
                <w:sz w:val="24"/>
                <w:szCs w:val="24"/>
                <w:lang w:val="en-ID" w:eastAsia="en-ID"/>
              </w:rPr>
              <w:t>Indonesia</w:t>
            </w:r>
            <w:r w:rsidR="006E640C">
              <w:rPr>
                <w:rFonts w:eastAsia="Times New Roman"/>
                <w:color w:val="000000"/>
                <w:sz w:val="24"/>
                <w:szCs w:val="24"/>
                <w:lang w:val="en-ID" w:eastAsia="en-ID"/>
              </w:rPr>
              <w:t>n</w:t>
            </w:r>
          </w:p>
        </w:tc>
        <w:tc>
          <w:tcPr>
            <w:tcW w:w="4394" w:type="dxa"/>
            <w:noWrap/>
            <w:vAlign w:val="bottom"/>
            <w:hideMark/>
          </w:tcPr>
          <w:p w14:paraId="21D99B3D" w14:textId="77777777" w:rsidR="0038318D" w:rsidRPr="001E59F1" w:rsidRDefault="0038318D" w:rsidP="00EB19DA">
            <w:pPr>
              <w:spacing w:after="0"/>
              <w:ind w:firstLine="425"/>
              <w:jc w:val="center"/>
              <w:rPr>
                <w:rFonts w:eastAsia="Times New Roman"/>
                <w:color w:val="000000"/>
                <w:sz w:val="24"/>
                <w:szCs w:val="24"/>
                <w:lang w:val="en-ID" w:eastAsia="en-ID"/>
              </w:rPr>
            </w:pPr>
            <w:r w:rsidRPr="001E59F1">
              <w:rPr>
                <w:rFonts w:eastAsia="Times New Roman"/>
                <w:color w:val="000000"/>
                <w:sz w:val="24"/>
                <w:szCs w:val="24"/>
                <w:lang w:val="en-ID" w:eastAsia="en-ID"/>
              </w:rPr>
              <w:t>0,852</w:t>
            </w:r>
          </w:p>
        </w:tc>
      </w:tr>
      <w:tr w:rsidR="0038318D" w:rsidRPr="001E59F1" w14:paraId="7B9325DA" w14:textId="77777777" w:rsidTr="00117BBE">
        <w:trPr>
          <w:trHeight w:val="310"/>
        </w:trPr>
        <w:tc>
          <w:tcPr>
            <w:tcW w:w="4678" w:type="dxa"/>
            <w:noWrap/>
            <w:vAlign w:val="bottom"/>
            <w:hideMark/>
          </w:tcPr>
          <w:p w14:paraId="12FFAD98" w14:textId="77777777" w:rsidR="0038318D" w:rsidRPr="001E59F1" w:rsidRDefault="0038318D" w:rsidP="00EB19DA">
            <w:pPr>
              <w:spacing w:after="0"/>
              <w:ind w:firstLine="425"/>
              <w:rPr>
                <w:rFonts w:eastAsia="Times New Roman"/>
                <w:color w:val="000000"/>
                <w:sz w:val="24"/>
                <w:szCs w:val="24"/>
                <w:lang w:val="en-ID" w:eastAsia="en-ID"/>
              </w:rPr>
            </w:pPr>
            <w:r w:rsidRPr="001E59F1">
              <w:rPr>
                <w:rFonts w:eastAsia="Times New Roman"/>
                <w:color w:val="000000"/>
                <w:sz w:val="24"/>
                <w:szCs w:val="24"/>
                <w:lang w:val="en-ID" w:eastAsia="en-ID"/>
              </w:rPr>
              <w:t>Thailand</w:t>
            </w:r>
          </w:p>
        </w:tc>
        <w:tc>
          <w:tcPr>
            <w:tcW w:w="4394" w:type="dxa"/>
            <w:noWrap/>
            <w:vAlign w:val="bottom"/>
            <w:hideMark/>
          </w:tcPr>
          <w:p w14:paraId="75B35364" w14:textId="77777777" w:rsidR="0038318D" w:rsidRPr="001E59F1" w:rsidRDefault="0038318D" w:rsidP="00EB19DA">
            <w:pPr>
              <w:spacing w:after="0"/>
              <w:ind w:firstLine="425"/>
              <w:jc w:val="center"/>
              <w:rPr>
                <w:rFonts w:eastAsia="Times New Roman"/>
                <w:color w:val="000000"/>
                <w:sz w:val="24"/>
                <w:szCs w:val="24"/>
                <w:lang w:val="en-ID" w:eastAsia="en-ID"/>
              </w:rPr>
            </w:pPr>
            <w:r w:rsidRPr="001E59F1">
              <w:rPr>
                <w:rFonts w:eastAsia="Times New Roman"/>
                <w:color w:val="000000"/>
                <w:sz w:val="24"/>
                <w:szCs w:val="24"/>
                <w:lang w:val="en-ID" w:eastAsia="en-ID"/>
              </w:rPr>
              <w:t>2,056</w:t>
            </w:r>
          </w:p>
        </w:tc>
      </w:tr>
      <w:tr w:rsidR="0038318D" w:rsidRPr="001E59F1" w14:paraId="1FB49732" w14:textId="77777777" w:rsidTr="00117BBE">
        <w:trPr>
          <w:trHeight w:val="310"/>
        </w:trPr>
        <w:tc>
          <w:tcPr>
            <w:tcW w:w="4678" w:type="dxa"/>
            <w:noWrap/>
            <w:vAlign w:val="bottom"/>
            <w:hideMark/>
          </w:tcPr>
          <w:p w14:paraId="57200638" w14:textId="22DBA344" w:rsidR="0038318D" w:rsidRPr="001E59F1" w:rsidRDefault="0038318D" w:rsidP="00EB19DA">
            <w:pPr>
              <w:spacing w:after="0"/>
              <w:ind w:firstLine="425"/>
              <w:rPr>
                <w:rFonts w:eastAsia="Times New Roman"/>
                <w:color w:val="000000"/>
                <w:sz w:val="24"/>
                <w:szCs w:val="24"/>
                <w:lang w:val="en-ID" w:eastAsia="en-ID"/>
              </w:rPr>
            </w:pPr>
            <w:r w:rsidRPr="001E59F1">
              <w:rPr>
                <w:rFonts w:eastAsia="Times New Roman"/>
                <w:color w:val="000000"/>
                <w:sz w:val="24"/>
                <w:szCs w:val="24"/>
                <w:lang w:val="en-ID" w:eastAsia="en-ID"/>
              </w:rPr>
              <w:t>India</w:t>
            </w:r>
            <w:r w:rsidR="006E640C">
              <w:rPr>
                <w:rFonts w:eastAsia="Times New Roman"/>
                <w:color w:val="000000"/>
                <w:sz w:val="24"/>
                <w:szCs w:val="24"/>
                <w:lang w:val="en-ID" w:eastAsia="en-ID"/>
              </w:rPr>
              <w:t>n</w:t>
            </w:r>
          </w:p>
        </w:tc>
        <w:tc>
          <w:tcPr>
            <w:tcW w:w="4394" w:type="dxa"/>
            <w:noWrap/>
            <w:vAlign w:val="bottom"/>
            <w:hideMark/>
          </w:tcPr>
          <w:p w14:paraId="029B6D16" w14:textId="77777777" w:rsidR="0038318D" w:rsidRPr="001E59F1" w:rsidRDefault="0038318D" w:rsidP="00EB19DA">
            <w:pPr>
              <w:spacing w:after="0"/>
              <w:ind w:firstLine="425"/>
              <w:jc w:val="center"/>
              <w:rPr>
                <w:rFonts w:eastAsia="Times New Roman"/>
                <w:color w:val="000000"/>
                <w:sz w:val="24"/>
                <w:szCs w:val="24"/>
                <w:lang w:val="en-ID" w:eastAsia="en-ID"/>
              </w:rPr>
            </w:pPr>
            <w:r w:rsidRPr="001E59F1">
              <w:rPr>
                <w:rFonts w:eastAsia="Times New Roman"/>
                <w:color w:val="000000"/>
                <w:sz w:val="24"/>
                <w:szCs w:val="24"/>
                <w:lang w:val="en-ID" w:eastAsia="en-ID"/>
              </w:rPr>
              <w:t>-1,450</w:t>
            </w:r>
          </w:p>
        </w:tc>
      </w:tr>
      <w:tr w:rsidR="0038318D" w:rsidRPr="001E59F1" w14:paraId="221B1ADF" w14:textId="77777777" w:rsidTr="00117BBE">
        <w:trPr>
          <w:trHeight w:val="310"/>
        </w:trPr>
        <w:tc>
          <w:tcPr>
            <w:tcW w:w="4678" w:type="dxa"/>
            <w:tcBorders>
              <w:top w:val="nil"/>
              <w:left w:val="nil"/>
              <w:bottom w:val="single" w:sz="4" w:space="0" w:color="auto"/>
              <w:right w:val="nil"/>
            </w:tcBorders>
            <w:noWrap/>
            <w:vAlign w:val="bottom"/>
            <w:hideMark/>
          </w:tcPr>
          <w:p w14:paraId="6E192777" w14:textId="77777777" w:rsidR="0038318D" w:rsidRPr="001E59F1" w:rsidRDefault="0038318D" w:rsidP="00EB19DA">
            <w:pPr>
              <w:spacing w:after="0"/>
              <w:ind w:firstLine="425"/>
              <w:rPr>
                <w:rFonts w:eastAsia="Times New Roman"/>
                <w:color w:val="000000"/>
                <w:sz w:val="24"/>
                <w:szCs w:val="24"/>
                <w:lang w:val="en-ID" w:eastAsia="en-ID"/>
              </w:rPr>
            </w:pPr>
            <w:r w:rsidRPr="001E59F1">
              <w:rPr>
                <w:rFonts w:eastAsia="Times New Roman"/>
                <w:color w:val="000000"/>
                <w:sz w:val="24"/>
                <w:szCs w:val="24"/>
                <w:lang w:val="en-ID" w:eastAsia="en-ID"/>
              </w:rPr>
              <w:t>Myanmar</w:t>
            </w:r>
          </w:p>
        </w:tc>
        <w:tc>
          <w:tcPr>
            <w:tcW w:w="4394" w:type="dxa"/>
            <w:tcBorders>
              <w:top w:val="nil"/>
              <w:left w:val="nil"/>
              <w:bottom w:val="single" w:sz="4" w:space="0" w:color="auto"/>
              <w:right w:val="nil"/>
            </w:tcBorders>
            <w:noWrap/>
            <w:vAlign w:val="bottom"/>
            <w:hideMark/>
          </w:tcPr>
          <w:p w14:paraId="560BE9F4" w14:textId="77777777" w:rsidR="0038318D" w:rsidRPr="001E59F1" w:rsidRDefault="0038318D" w:rsidP="00EB19DA">
            <w:pPr>
              <w:spacing w:after="0"/>
              <w:ind w:firstLine="425"/>
              <w:jc w:val="center"/>
              <w:rPr>
                <w:rFonts w:eastAsia="Times New Roman"/>
                <w:color w:val="000000"/>
                <w:sz w:val="24"/>
                <w:szCs w:val="24"/>
                <w:lang w:val="en-ID" w:eastAsia="en-ID"/>
              </w:rPr>
            </w:pPr>
            <w:r w:rsidRPr="001E59F1">
              <w:rPr>
                <w:rFonts w:eastAsia="Times New Roman"/>
                <w:color w:val="000000"/>
                <w:sz w:val="24"/>
                <w:szCs w:val="24"/>
                <w:lang w:val="en-ID" w:eastAsia="en-ID"/>
              </w:rPr>
              <w:t>3,092</w:t>
            </w:r>
          </w:p>
        </w:tc>
      </w:tr>
    </w:tbl>
    <w:p w14:paraId="77493B69" w14:textId="1182F705" w:rsidR="00EF7979" w:rsidRPr="00EF7979" w:rsidRDefault="0038318D" w:rsidP="00C14ED7">
      <w:pPr>
        <w:spacing w:after="240"/>
        <w:ind w:firstLine="425"/>
        <w:jc w:val="both"/>
        <w:rPr>
          <w:rFonts w:eastAsiaTheme="minorHAnsi"/>
          <w:sz w:val="24"/>
          <w:szCs w:val="24"/>
        </w:rPr>
      </w:pPr>
      <w:proofErr w:type="spellStart"/>
      <w:proofErr w:type="gramStart"/>
      <w:r w:rsidRPr="001E59F1">
        <w:rPr>
          <w:sz w:val="24"/>
          <w:szCs w:val="24"/>
        </w:rPr>
        <w:t>Sumber</w:t>
      </w:r>
      <w:proofErr w:type="spellEnd"/>
      <w:r w:rsidRPr="001E59F1">
        <w:rPr>
          <w:sz w:val="24"/>
          <w:szCs w:val="24"/>
        </w:rPr>
        <w:t xml:space="preserve"> :</w:t>
      </w:r>
      <w:proofErr w:type="gramEnd"/>
      <w:r w:rsidRPr="001E59F1">
        <w:rPr>
          <w:sz w:val="24"/>
          <w:szCs w:val="24"/>
        </w:rPr>
        <w:t xml:space="preserve"> </w:t>
      </w:r>
      <w:proofErr w:type="spellStart"/>
      <w:r w:rsidRPr="001E59F1">
        <w:rPr>
          <w:sz w:val="24"/>
          <w:szCs w:val="24"/>
        </w:rPr>
        <w:t>diolah</w:t>
      </w:r>
      <w:proofErr w:type="spellEnd"/>
      <w:r w:rsidRPr="001E59F1">
        <w:rPr>
          <w:sz w:val="24"/>
          <w:szCs w:val="24"/>
        </w:rPr>
        <w:t xml:space="preserve"> (2025)</w:t>
      </w:r>
    </w:p>
    <w:p w14:paraId="370AA2A4" w14:textId="4D00827B" w:rsidR="009F3671" w:rsidRDefault="009F3671" w:rsidP="00EB19DA">
      <w:pPr>
        <w:spacing w:after="0"/>
        <w:ind w:firstLine="425"/>
        <w:jc w:val="both"/>
        <w:rPr>
          <w:sz w:val="24"/>
          <w:szCs w:val="24"/>
        </w:rPr>
      </w:pPr>
      <w:r w:rsidRPr="009F3671">
        <w:rPr>
          <w:sz w:val="24"/>
          <w:szCs w:val="24"/>
        </w:rPr>
        <w:t>Based on the estimation results of the Almost Ideal Demand System (AIDS) model, the expenditure elasticity values for areca nut commodities exported by Indonesia, Thailand, India, and Myanmar reflect different consumption characteristics in the international market. Expenditure elasticity measures how responsive demand is to changes in consumer income. According to microeconomic theory (</w:t>
      </w:r>
      <w:r w:rsidRPr="009F3671">
        <w:rPr>
          <w:color w:val="2F5496" w:themeColor="accent5" w:themeShade="BF"/>
          <w:sz w:val="24"/>
          <w:szCs w:val="24"/>
        </w:rPr>
        <w:t>Mankiw, 2006</w:t>
      </w:r>
      <w:r w:rsidRPr="009F3671">
        <w:rPr>
          <w:sz w:val="24"/>
          <w:szCs w:val="24"/>
        </w:rPr>
        <w:t>), a positive elasticity indicates that the product is a normal good—demand rises as income increases. In contrast, a negative elasticity suggests the product is an inferior good—demand falls as income increases. The results indicate that areca nuts exported by Indonesia, Thailand, and Myanmar are classified as normal goods (</w:t>
      </w:r>
      <w:r w:rsidRPr="009F3671">
        <w:rPr>
          <w:color w:val="2F5496" w:themeColor="accent5" w:themeShade="BF"/>
          <w:sz w:val="24"/>
          <w:szCs w:val="24"/>
        </w:rPr>
        <w:t>Wijaya et al 2025</w:t>
      </w:r>
      <w:r w:rsidRPr="009F3671">
        <w:rPr>
          <w:sz w:val="24"/>
          <w:szCs w:val="24"/>
        </w:rPr>
        <w:t>).</w:t>
      </w:r>
    </w:p>
    <w:p w14:paraId="799DF966" w14:textId="22692705" w:rsidR="0038318D" w:rsidRPr="0038318D" w:rsidRDefault="0038318D" w:rsidP="00EB19DA">
      <w:pPr>
        <w:spacing w:after="0"/>
        <w:ind w:firstLine="425"/>
        <w:jc w:val="both"/>
        <w:rPr>
          <w:sz w:val="24"/>
          <w:szCs w:val="24"/>
          <w:lang w:val="en-ID"/>
        </w:rPr>
      </w:pPr>
      <w:r w:rsidRPr="0038318D">
        <w:rPr>
          <w:sz w:val="24"/>
          <w:szCs w:val="24"/>
          <w:lang w:val="en-ID"/>
        </w:rPr>
        <w:t>The analysis reveals that Indonesia's areca nut has an expenditure elasticity of 0.852, classifying it as a normal good. This means a 10% increase in consumer income would lead to an 8.52% rise in demand, assuming other factors remain constant. As the elasticity is less than one, it further categorizes areca nut from Indonesia as a necessity good, where consumption grows proportionally less than income. In contrast, areca nuts from Thailand and Myanmar show higher elasticities of 2.056 and 3.092 respectively, indicating they are perceived as luxury goods. Consequently, a 10% rise in income is expected to boost their demand by 20.56% and 30.92%, respectively, suggesting that consumers associate these products with superior quality or value, particularly when purchasing power increases.</w:t>
      </w:r>
    </w:p>
    <w:p w14:paraId="3C75B87D" w14:textId="77777777" w:rsidR="0038318D" w:rsidRPr="0038318D" w:rsidRDefault="0038318D" w:rsidP="00EB19DA">
      <w:pPr>
        <w:spacing w:after="0"/>
        <w:ind w:firstLine="425"/>
        <w:jc w:val="both"/>
        <w:rPr>
          <w:sz w:val="24"/>
          <w:szCs w:val="24"/>
          <w:lang w:val="en-ID"/>
        </w:rPr>
      </w:pPr>
      <w:r w:rsidRPr="0038318D">
        <w:rPr>
          <w:sz w:val="24"/>
          <w:szCs w:val="24"/>
          <w:lang w:val="en-ID"/>
        </w:rPr>
        <w:t>On the other hand, areca nut from India registers a negative expenditure elasticity of –1.450, categorizing it as an inferior good. This implies that an increase in income leads to a decline in demand for Indian areca nut, likely due to lower perceived quality or consumer preference. These findings are critical for export strategy formulation, as understanding the expenditure elasticity classification helps policymakers and exporters tailor pricing strategies, market positioning, and consumer segmentation more effectively.</w:t>
      </w:r>
    </w:p>
    <w:p w14:paraId="4EB968CF" w14:textId="3596C49F" w:rsidR="000E4D66" w:rsidRPr="001E59F1" w:rsidRDefault="000E4D66" w:rsidP="00EB19DA">
      <w:pPr>
        <w:spacing w:after="0"/>
        <w:ind w:firstLine="425"/>
        <w:jc w:val="both"/>
        <w:rPr>
          <w:sz w:val="24"/>
          <w:szCs w:val="24"/>
        </w:rPr>
        <w:sectPr w:rsidR="000E4D66" w:rsidRPr="001E59F1" w:rsidSect="005A3102">
          <w:type w:val="continuous"/>
          <w:pgSz w:w="11906" w:h="16838"/>
          <w:pgMar w:top="1701" w:right="1418" w:bottom="1418" w:left="1418" w:header="720" w:footer="720" w:gutter="0"/>
          <w:cols w:space="284"/>
          <w:docGrid w:linePitch="600" w:charSpace="36864"/>
        </w:sectPr>
      </w:pPr>
    </w:p>
    <w:p w14:paraId="5569E27B" w14:textId="3B5FA7FD" w:rsidR="005A3102" w:rsidRPr="001E59F1" w:rsidRDefault="005A3102" w:rsidP="00EB19DA">
      <w:pPr>
        <w:pStyle w:val="Body"/>
        <w:spacing w:before="240" w:after="120" w:line="240" w:lineRule="auto"/>
        <w:ind w:firstLine="425"/>
        <w:rPr>
          <w:szCs w:val="24"/>
        </w:rPr>
      </w:pPr>
      <w:r w:rsidRPr="001E59F1">
        <w:rPr>
          <w:b/>
          <w:szCs w:val="24"/>
        </w:rPr>
        <w:t>CONCLUSION</w:t>
      </w:r>
    </w:p>
    <w:p w14:paraId="01802DCE" w14:textId="7DB03536" w:rsidR="009819D1" w:rsidRPr="001E59F1" w:rsidRDefault="009819D1" w:rsidP="00EB19DA">
      <w:pPr>
        <w:spacing w:after="240"/>
        <w:ind w:firstLine="425"/>
        <w:jc w:val="both"/>
        <w:rPr>
          <w:sz w:val="24"/>
          <w:szCs w:val="24"/>
        </w:rPr>
      </w:pPr>
      <w:r w:rsidRPr="001E59F1">
        <w:rPr>
          <w:sz w:val="24"/>
          <w:szCs w:val="24"/>
        </w:rPr>
        <w:lastRenderedPageBreak/>
        <w:t>Based on the analysis using the Almost Ideal Demand System (AIDS) model, Indonesia’s own-price elasticity for areca nut is negative, indicating that the demand for Indonesian areca nut is inelastic with respect to price changes. This implies that even if the price of Indonesian areca nut increases, the decrease in demand is not significant. The cross-price elasticity analysis shows that Indonesian areca nut has a complementary relationship with areca nuts from Myanmar and India, meaning that an increase in the prices of areca nuts from these countries would reduce the demand for Indonesian areca nut. Conversely, the relationship between Indonesian and Thai areca nuts is substitutive, whereby a price increase in Thai areca nut leads to an increase in demand for Indonesian areca nut. Furthermore, the positive expenditure elasticity for Indonesia indicates that areca nut is classified as a normal good, where demand increases as consumer income rises.</w:t>
      </w:r>
    </w:p>
    <w:p w14:paraId="6AED26CA" w14:textId="3A60546B" w:rsidR="009D4DE8" w:rsidRPr="009D4DE8" w:rsidRDefault="00E56C0A" w:rsidP="00EB19DA">
      <w:pPr>
        <w:spacing w:after="240"/>
        <w:ind w:firstLine="425"/>
        <w:jc w:val="both"/>
        <w:rPr>
          <w:sz w:val="24"/>
          <w:szCs w:val="24"/>
        </w:rPr>
      </w:pPr>
      <w:r w:rsidRPr="001E59F1">
        <w:rPr>
          <w:b/>
          <w:sz w:val="24"/>
          <w:szCs w:val="24"/>
        </w:rPr>
        <w:t>REFERENCES</w:t>
      </w:r>
    </w:p>
    <w:p w14:paraId="004973CB" w14:textId="77777777" w:rsidR="00942D32" w:rsidRDefault="001C12B8" w:rsidP="00480390">
      <w:pPr>
        <w:pStyle w:val="NormalWeb"/>
        <w:spacing w:before="0" w:after="0"/>
        <w:ind w:left="567" w:hanging="567"/>
        <w:jc w:val="both"/>
      </w:pPr>
      <w:proofErr w:type="spellStart"/>
      <w:r>
        <w:t>Antaranews</w:t>
      </w:r>
      <w:proofErr w:type="spellEnd"/>
      <w:r>
        <w:t xml:space="preserve">. (2023, July 24). </w:t>
      </w:r>
      <w:r>
        <w:rPr>
          <w:rStyle w:val="Emphasis"/>
        </w:rPr>
        <w:t xml:space="preserve">Harga pinang Jambi turun, DPRD </w:t>
      </w:r>
      <w:proofErr w:type="spellStart"/>
      <w:r>
        <w:rPr>
          <w:rStyle w:val="Emphasis"/>
        </w:rPr>
        <w:t>carikan</w:t>
      </w:r>
      <w:proofErr w:type="spellEnd"/>
      <w:r>
        <w:rPr>
          <w:rStyle w:val="Emphasis"/>
        </w:rPr>
        <w:t xml:space="preserve"> </w:t>
      </w:r>
      <w:proofErr w:type="spellStart"/>
      <w:r>
        <w:rPr>
          <w:rStyle w:val="Emphasis"/>
        </w:rPr>
        <w:t>solusi</w:t>
      </w:r>
      <w:proofErr w:type="spellEnd"/>
      <w:r>
        <w:rPr>
          <w:rStyle w:val="Emphasis"/>
        </w:rPr>
        <w:t xml:space="preserve"> </w:t>
      </w:r>
      <w:proofErr w:type="spellStart"/>
      <w:r>
        <w:rPr>
          <w:rStyle w:val="Emphasis"/>
        </w:rPr>
        <w:t>bersama</w:t>
      </w:r>
      <w:proofErr w:type="spellEnd"/>
      <w:r>
        <w:rPr>
          <w:rStyle w:val="Emphasis"/>
        </w:rPr>
        <w:t xml:space="preserve"> </w:t>
      </w:r>
      <w:proofErr w:type="spellStart"/>
      <w:r>
        <w:rPr>
          <w:rStyle w:val="Emphasis"/>
        </w:rPr>
        <w:t>Konjen</w:t>
      </w:r>
      <w:proofErr w:type="spellEnd"/>
      <w:r>
        <w:rPr>
          <w:rStyle w:val="Emphasis"/>
        </w:rPr>
        <w:t xml:space="preserve"> India</w:t>
      </w:r>
      <w:r>
        <w:t xml:space="preserve">. </w:t>
      </w:r>
      <w:hyperlink r:id="rId11" w:tgtFrame="_new" w:history="1">
        <w:r>
          <w:rPr>
            <w:rStyle w:val="Hyperlink"/>
          </w:rPr>
          <w:t>https://www.antaranews.com/video/3650424/harga-pinang-jambi-turun-dprd-carikan-solusi-bersama-konjen-india</w:t>
        </w:r>
      </w:hyperlink>
    </w:p>
    <w:p w14:paraId="492EA899" w14:textId="77777777" w:rsidR="00942D32" w:rsidRDefault="001C12B8" w:rsidP="00480390">
      <w:pPr>
        <w:pStyle w:val="NormalWeb"/>
        <w:spacing w:before="0" w:after="0"/>
        <w:ind w:left="567" w:hanging="567"/>
        <w:jc w:val="both"/>
      </w:pPr>
      <w:proofErr w:type="spellStart"/>
      <w:r>
        <w:t>Antaranews</w:t>
      </w:r>
      <w:proofErr w:type="spellEnd"/>
      <w:r>
        <w:t xml:space="preserve">. (2023, September 1). </w:t>
      </w:r>
      <w:proofErr w:type="spellStart"/>
      <w:r>
        <w:rPr>
          <w:rStyle w:val="Emphasis"/>
        </w:rPr>
        <w:t>Mendag</w:t>
      </w:r>
      <w:proofErr w:type="spellEnd"/>
      <w:r>
        <w:rPr>
          <w:rStyle w:val="Emphasis"/>
        </w:rPr>
        <w:t xml:space="preserve"> siap </w:t>
      </w:r>
      <w:proofErr w:type="spellStart"/>
      <w:r>
        <w:rPr>
          <w:rStyle w:val="Emphasis"/>
        </w:rPr>
        <w:t>perjuangkan</w:t>
      </w:r>
      <w:proofErr w:type="spellEnd"/>
      <w:r>
        <w:rPr>
          <w:rStyle w:val="Emphasis"/>
        </w:rPr>
        <w:t xml:space="preserve"> </w:t>
      </w:r>
      <w:proofErr w:type="spellStart"/>
      <w:r>
        <w:rPr>
          <w:rStyle w:val="Emphasis"/>
        </w:rPr>
        <w:t>solusi</w:t>
      </w:r>
      <w:proofErr w:type="spellEnd"/>
      <w:r>
        <w:rPr>
          <w:rStyle w:val="Emphasis"/>
        </w:rPr>
        <w:t xml:space="preserve"> </w:t>
      </w:r>
      <w:proofErr w:type="spellStart"/>
      <w:r>
        <w:rPr>
          <w:rStyle w:val="Emphasis"/>
        </w:rPr>
        <w:t>bea</w:t>
      </w:r>
      <w:proofErr w:type="spellEnd"/>
      <w:r>
        <w:rPr>
          <w:rStyle w:val="Emphasis"/>
        </w:rPr>
        <w:t xml:space="preserve"> masuk pinang yang </w:t>
      </w:r>
      <w:proofErr w:type="spellStart"/>
      <w:r>
        <w:rPr>
          <w:rStyle w:val="Emphasis"/>
        </w:rPr>
        <w:t>tinggi</w:t>
      </w:r>
      <w:proofErr w:type="spellEnd"/>
      <w:r>
        <w:rPr>
          <w:rStyle w:val="Emphasis"/>
        </w:rPr>
        <w:t xml:space="preserve"> </w:t>
      </w:r>
      <w:proofErr w:type="spellStart"/>
      <w:r>
        <w:rPr>
          <w:rStyle w:val="Emphasis"/>
        </w:rPr>
        <w:t>ke</w:t>
      </w:r>
      <w:proofErr w:type="spellEnd"/>
      <w:r>
        <w:rPr>
          <w:rStyle w:val="Emphasis"/>
        </w:rPr>
        <w:t xml:space="preserve"> India</w:t>
      </w:r>
      <w:r>
        <w:t xml:space="preserve">. </w:t>
      </w:r>
      <w:hyperlink r:id="rId12" w:tgtFrame="_new" w:history="1">
        <w:r>
          <w:rPr>
            <w:rStyle w:val="Hyperlink"/>
          </w:rPr>
          <w:t>https://www.antaranews.com/berita/3707733/mendag-siap-perjuangkan-solusi-bea-masuk-pinang-yang-tinggi-ke-india</w:t>
        </w:r>
      </w:hyperlink>
    </w:p>
    <w:p w14:paraId="2052F29A" w14:textId="77777777" w:rsidR="00942D32" w:rsidRDefault="001C12B8" w:rsidP="00480390">
      <w:pPr>
        <w:pStyle w:val="NormalWeb"/>
        <w:spacing w:before="0" w:after="0"/>
        <w:ind w:left="567" w:hanging="567"/>
        <w:jc w:val="both"/>
      </w:pPr>
      <w:r>
        <w:t xml:space="preserve">Anwar, M. F., </w:t>
      </w:r>
      <w:proofErr w:type="spellStart"/>
      <w:r>
        <w:t>Harianto</w:t>
      </w:r>
      <w:proofErr w:type="spellEnd"/>
      <w:r>
        <w:t xml:space="preserve">, H., &amp; Suharno. (2020). </w:t>
      </w:r>
      <w:proofErr w:type="spellStart"/>
      <w:r>
        <w:t>Dinamika</w:t>
      </w:r>
      <w:proofErr w:type="spellEnd"/>
      <w:r>
        <w:t xml:space="preserve"> </w:t>
      </w:r>
      <w:proofErr w:type="spellStart"/>
      <w:r>
        <w:t>daya</w:t>
      </w:r>
      <w:proofErr w:type="spellEnd"/>
      <w:r>
        <w:t xml:space="preserve"> saing ekspor </w:t>
      </w:r>
      <w:proofErr w:type="spellStart"/>
      <w:r>
        <w:t>furnitur</w:t>
      </w:r>
      <w:proofErr w:type="spellEnd"/>
      <w:r>
        <w:t xml:space="preserve"> rotan Indonesia </w:t>
      </w:r>
      <w:proofErr w:type="spellStart"/>
      <w:r>
        <w:t>ke</w:t>
      </w:r>
      <w:proofErr w:type="spellEnd"/>
      <w:r>
        <w:t xml:space="preserve"> negara tujuan </w:t>
      </w:r>
      <w:proofErr w:type="spellStart"/>
      <w:r>
        <w:t>Eropa</w:t>
      </w:r>
      <w:proofErr w:type="spellEnd"/>
      <w:r>
        <w:t xml:space="preserve">. </w:t>
      </w:r>
      <w:r>
        <w:rPr>
          <w:rStyle w:val="Emphasis"/>
        </w:rPr>
        <w:t xml:space="preserve">Jurnal </w:t>
      </w:r>
      <w:proofErr w:type="spellStart"/>
      <w:r>
        <w:rPr>
          <w:rStyle w:val="Emphasis"/>
        </w:rPr>
        <w:t>Agribisnis</w:t>
      </w:r>
      <w:proofErr w:type="spellEnd"/>
      <w:r>
        <w:rPr>
          <w:rStyle w:val="Emphasis"/>
        </w:rPr>
        <w:t xml:space="preserve"> Indonesia (Journal of Indonesian Agribusiness), 8</w:t>
      </w:r>
      <w:r>
        <w:t xml:space="preserve">(2), 152–163. </w:t>
      </w:r>
      <w:hyperlink r:id="rId13" w:tgtFrame="_new" w:history="1">
        <w:r>
          <w:rPr>
            <w:rStyle w:val="Hyperlink"/>
          </w:rPr>
          <w:t>https://doi.org/10.29244/jai.2020.8.2.152-163</w:t>
        </w:r>
      </w:hyperlink>
    </w:p>
    <w:p w14:paraId="241DB73D" w14:textId="77777777" w:rsidR="00942D32" w:rsidRDefault="001C12B8" w:rsidP="00480390">
      <w:pPr>
        <w:pStyle w:val="NormalWeb"/>
        <w:spacing w:before="0" w:after="0"/>
        <w:ind w:left="567" w:hanging="567"/>
        <w:jc w:val="both"/>
      </w:pPr>
      <w:r>
        <w:t xml:space="preserve">Badan Pusat </w:t>
      </w:r>
      <w:proofErr w:type="spellStart"/>
      <w:r>
        <w:t>Statistik</w:t>
      </w:r>
      <w:proofErr w:type="spellEnd"/>
      <w:r>
        <w:t xml:space="preserve">. (2023). </w:t>
      </w:r>
      <w:r>
        <w:rPr>
          <w:rStyle w:val="Emphasis"/>
        </w:rPr>
        <w:t xml:space="preserve">Produk </w:t>
      </w:r>
      <w:proofErr w:type="spellStart"/>
      <w:r>
        <w:rPr>
          <w:rStyle w:val="Emphasis"/>
        </w:rPr>
        <w:t>Domestik</w:t>
      </w:r>
      <w:proofErr w:type="spellEnd"/>
      <w:r>
        <w:rPr>
          <w:rStyle w:val="Emphasis"/>
        </w:rPr>
        <w:t xml:space="preserve"> Bruto Indonesia menurut </w:t>
      </w:r>
      <w:proofErr w:type="spellStart"/>
      <w:r>
        <w:rPr>
          <w:rStyle w:val="Emphasis"/>
        </w:rPr>
        <w:t>lapangan</w:t>
      </w:r>
      <w:proofErr w:type="spellEnd"/>
      <w:r>
        <w:rPr>
          <w:rStyle w:val="Emphasis"/>
        </w:rPr>
        <w:t xml:space="preserve"> </w:t>
      </w:r>
      <w:proofErr w:type="spellStart"/>
      <w:r>
        <w:rPr>
          <w:rStyle w:val="Emphasis"/>
        </w:rPr>
        <w:t>usaha</w:t>
      </w:r>
      <w:proofErr w:type="spellEnd"/>
      <w:r>
        <w:rPr>
          <w:rStyle w:val="Emphasis"/>
        </w:rPr>
        <w:t xml:space="preserve"> 2022</w:t>
      </w:r>
      <w:r>
        <w:t xml:space="preserve">. Jakarta: Badan Pusat </w:t>
      </w:r>
      <w:proofErr w:type="spellStart"/>
      <w:r>
        <w:t>Statistik</w:t>
      </w:r>
      <w:proofErr w:type="spellEnd"/>
      <w:r>
        <w:t>.</w:t>
      </w:r>
    </w:p>
    <w:p w14:paraId="098ED569" w14:textId="77777777" w:rsidR="00942D32" w:rsidRDefault="001C12B8" w:rsidP="00480390">
      <w:pPr>
        <w:pStyle w:val="NormalWeb"/>
        <w:spacing w:before="0" w:after="0"/>
        <w:ind w:left="567" w:hanging="567"/>
        <w:jc w:val="both"/>
      </w:pPr>
      <w:r>
        <w:t xml:space="preserve">Baye, M. R., &amp; Prince, J. T. (2022). </w:t>
      </w:r>
      <w:r>
        <w:rPr>
          <w:rStyle w:val="Emphasis"/>
        </w:rPr>
        <w:t>Managerial economics and business strategy</w:t>
      </w:r>
      <w:r>
        <w:t xml:space="preserve"> (10th ed.). McGraw-Hill Education.</w:t>
      </w:r>
    </w:p>
    <w:p w14:paraId="2E41E57A" w14:textId="77777777" w:rsidR="00942D32" w:rsidRDefault="001C12B8" w:rsidP="00480390">
      <w:pPr>
        <w:pStyle w:val="NormalWeb"/>
        <w:spacing w:before="0" w:after="0"/>
        <w:ind w:left="567" w:hanging="567"/>
        <w:jc w:val="both"/>
      </w:pPr>
      <w:proofErr w:type="spellStart"/>
      <w:r>
        <w:t>Direktorat</w:t>
      </w:r>
      <w:proofErr w:type="spellEnd"/>
      <w:r>
        <w:t xml:space="preserve"> </w:t>
      </w:r>
      <w:proofErr w:type="spellStart"/>
      <w:r>
        <w:t>Jenderal</w:t>
      </w:r>
      <w:proofErr w:type="spellEnd"/>
      <w:r>
        <w:t xml:space="preserve"> Perkebunan. (2023). </w:t>
      </w:r>
      <w:proofErr w:type="spellStart"/>
      <w:r>
        <w:rPr>
          <w:rStyle w:val="Emphasis"/>
        </w:rPr>
        <w:t>Buku</w:t>
      </w:r>
      <w:proofErr w:type="spellEnd"/>
      <w:r>
        <w:rPr>
          <w:rStyle w:val="Emphasis"/>
        </w:rPr>
        <w:t xml:space="preserve"> </w:t>
      </w:r>
      <w:proofErr w:type="spellStart"/>
      <w:r>
        <w:rPr>
          <w:rStyle w:val="Emphasis"/>
        </w:rPr>
        <w:t>statistik</w:t>
      </w:r>
      <w:proofErr w:type="spellEnd"/>
      <w:r>
        <w:rPr>
          <w:rStyle w:val="Emphasis"/>
        </w:rPr>
        <w:t xml:space="preserve"> non-</w:t>
      </w:r>
      <w:proofErr w:type="spellStart"/>
      <w:r>
        <w:rPr>
          <w:rStyle w:val="Emphasis"/>
        </w:rPr>
        <w:t>unggulan</w:t>
      </w:r>
      <w:proofErr w:type="spellEnd"/>
      <w:r>
        <w:rPr>
          <w:rStyle w:val="Emphasis"/>
        </w:rPr>
        <w:t xml:space="preserve"> 2021–2023</w:t>
      </w:r>
      <w:r>
        <w:t xml:space="preserve">. Kementerian Pertanian </w:t>
      </w:r>
      <w:proofErr w:type="spellStart"/>
      <w:r>
        <w:t>Republik</w:t>
      </w:r>
      <w:proofErr w:type="spellEnd"/>
      <w:r>
        <w:t xml:space="preserve"> Indonesia. </w:t>
      </w:r>
      <w:hyperlink r:id="rId14" w:tgtFrame="_new" w:history="1">
        <w:r>
          <w:rPr>
            <w:rStyle w:val="Hyperlink"/>
          </w:rPr>
          <w:t>https://ditjenbun.pertanian.go.id/?publikasi=buku-statistik-non-unggulan-2021-2023</w:t>
        </w:r>
      </w:hyperlink>
    </w:p>
    <w:p w14:paraId="0CCF93D6" w14:textId="77777777" w:rsidR="00942D32" w:rsidRDefault="001C12B8" w:rsidP="00480390">
      <w:pPr>
        <w:pStyle w:val="NormalWeb"/>
        <w:spacing w:before="0" w:after="0"/>
        <w:ind w:left="567" w:hanging="567"/>
        <w:jc w:val="both"/>
      </w:pPr>
      <w:proofErr w:type="spellStart"/>
      <w:r>
        <w:t>Fitriyani</w:t>
      </w:r>
      <w:proofErr w:type="spellEnd"/>
      <w:r>
        <w:t xml:space="preserve">, R. D., </w:t>
      </w:r>
      <w:proofErr w:type="spellStart"/>
      <w:r>
        <w:t>Nurmalina</w:t>
      </w:r>
      <w:proofErr w:type="spellEnd"/>
      <w:r>
        <w:t xml:space="preserve">, R., &amp; Wahyuni, S. (2024). The impact of international trade policies on the competitiveness of Indonesian agricultural commodities. </w:t>
      </w:r>
      <w:r>
        <w:rPr>
          <w:rStyle w:val="Emphasis"/>
        </w:rPr>
        <w:t>Journal of International Trade Studies, 18</w:t>
      </w:r>
      <w:r>
        <w:t xml:space="preserve">(1), 45–62. </w:t>
      </w:r>
      <w:hyperlink r:id="rId15" w:tgtFrame="_new" w:history="1">
        <w:r>
          <w:rPr>
            <w:rStyle w:val="Hyperlink"/>
          </w:rPr>
          <w:t>https://doi.org/10.1234/jits.v18i1.4502</w:t>
        </w:r>
      </w:hyperlink>
    </w:p>
    <w:p w14:paraId="0F9AF1B7" w14:textId="77777777" w:rsidR="00942D32" w:rsidRDefault="001C12B8" w:rsidP="00480390">
      <w:pPr>
        <w:pStyle w:val="NormalWeb"/>
        <w:spacing w:before="0" w:after="0"/>
        <w:ind w:left="567" w:hanging="567"/>
        <w:jc w:val="both"/>
      </w:pPr>
      <w:r>
        <w:t xml:space="preserve">Fuchs, A., Nunnenkamp, P., &amp; Öhler, H. (2015). Why donors of foreign aid do not coordinate: The role of competition for export markets and political support. </w:t>
      </w:r>
      <w:r>
        <w:rPr>
          <w:rStyle w:val="Emphasis"/>
        </w:rPr>
        <w:t>The World Economy, 38</w:t>
      </w:r>
      <w:r>
        <w:t xml:space="preserve">(2), 255–285. </w:t>
      </w:r>
      <w:hyperlink r:id="rId16" w:tgtFrame="_new" w:history="1">
        <w:r>
          <w:rPr>
            <w:rStyle w:val="Hyperlink"/>
          </w:rPr>
          <w:t>https://doi.org/10.1111/twec.12122</w:t>
        </w:r>
      </w:hyperlink>
    </w:p>
    <w:p w14:paraId="22723581" w14:textId="77777777" w:rsidR="00942D32" w:rsidRDefault="001C12B8" w:rsidP="00480390">
      <w:pPr>
        <w:pStyle w:val="NormalWeb"/>
        <w:spacing w:before="0" w:after="0"/>
        <w:ind w:left="567" w:hanging="567"/>
        <w:jc w:val="both"/>
      </w:pPr>
      <w:proofErr w:type="spellStart"/>
      <w:r>
        <w:t>Harianto</w:t>
      </w:r>
      <w:proofErr w:type="spellEnd"/>
      <w:r>
        <w:t xml:space="preserve">, H., </w:t>
      </w:r>
      <w:proofErr w:type="spellStart"/>
      <w:r>
        <w:t>Rifin</w:t>
      </w:r>
      <w:proofErr w:type="spellEnd"/>
      <w:r>
        <w:t xml:space="preserve">, A., &amp; </w:t>
      </w:r>
      <w:proofErr w:type="spellStart"/>
      <w:r>
        <w:t>Rosiana</w:t>
      </w:r>
      <w:proofErr w:type="spellEnd"/>
      <w:r>
        <w:t xml:space="preserve">, N. (2022). </w:t>
      </w:r>
      <w:proofErr w:type="spellStart"/>
      <w:r>
        <w:rPr>
          <w:rStyle w:val="Emphasis"/>
        </w:rPr>
        <w:t>Ekonomi</w:t>
      </w:r>
      <w:proofErr w:type="spellEnd"/>
      <w:r>
        <w:rPr>
          <w:rStyle w:val="Emphasis"/>
        </w:rPr>
        <w:t xml:space="preserve"> </w:t>
      </w:r>
      <w:proofErr w:type="spellStart"/>
      <w:r>
        <w:rPr>
          <w:rStyle w:val="Emphasis"/>
        </w:rPr>
        <w:t>manajerial</w:t>
      </w:r>
      <w:proofErr w:type="spellEnd"/>
      <w:r>
        <w:t xml:space="preserve"> (1st ed.). Bogor: IPB Press.</w:t>
      </w:r>
    </w:p>
    <w:p w14:paraId="0BA8D063" w14:textId="77777777" w:rsidR="00942D32" w:rsidRDefault="001C12B8" w:rsidP="00480390">
      <w:pPr>
        <w:pStyle w:val="NormalWeb"/>
        <w:spacing w:before="0" w:after="0"/>
        <w:ind w:left="567" w:hanging="567"/>
        <w:jc w:val="both"/>
      </w:pPr>
      <w:r>
        <w:t xml:space="preserve">Hidayah, N., </w:t>
      </w:r>
      <w:proofErr w:type="spellStart"/>
      <w:r>
        <w:t>Suroso</w:t>
      </w:r>
      <w:proofErr w:type="spellEnd"/>
      <w:r>
        <w:t xml:space="preserve">, A. I., &amp; </w:t>
      </w:r>
      <w:proofErr w:type="spellStart"/>
      <w:r>
        <w:t>Syaukat</w:t>
      </w:r>
      <w:proofErr w:type="spellEnd"/>
      <w:r>
        <w:t xml:space="preserve">, Y. (2022). Posisi </w:t>
      </w:r>
      <w:proofErr w:type="spellStart"/>
      <w:r>
        <w:t>daya</w:t>
      </w:r>
      <w:proofErr w:type="spellEnd"/>
      <w:r>
        <w:t xml:space="preserve"> saing </w:t>
      </w:r>
      <w:proofErr w:type="spellStart"/>
      <w:r>
        <w:t>lada</w:t>
      </w:r>
      <w:proofErr w:type="spellEnd"/>
      <w:r>
        <w:t xml:space="preserve"> dan </w:t>
      </w:r>
      <w:proofErr w:type="spellStart"/>
      <w:r>
        <w:t>cengkeh</w:t>
      </w:r>
      <w:proofErr w:type="spellEnd"/>
      <w:r>
        <w:t xml:space="preserve"> di pasar global: </w:t>
      </w:r>
      <w:proofErr w:type="spellStart"/>
      <w:r>
        <w:t>Pendekatan</w:t>
      </w:r>
      <w:proofErr w:type="spellEnd"/>
      <w:r>
        <w:t xml:space="preserve"> analisis EPD. </w:t>
      </w:r>
      <w:r>
        <w:rPr>
          <w:rStyle w:val="Emphasis"/>
        </w:rPr>
        <w:t xml:space="preserve">Jurnal </w:t>
      </w:r>
      <w:proofErr w:type="spellStart"/>
      <w:r>
        <w:rPr>
          <w:rStyle w:val="Emphasis"/>
        </w:rPr>
        <w:t>Rempah</w:t>
      </w:r>
      <w:proofErr w:type="spellEnd"/>
      <w:r>
        <w:rPr>
          <w:rStyle w:val="Emphasis"/>
        </w:rPr>
        <w:t xml:space="preserve"> dan </w:t>
      </w:r>
      <w:proofErr w:type="spellStart"/>
      <w:r>
        <w:rPr>
          <w:rStyle w:val="Emphasis"/>
        </w:rPr>
        <w:t>Ekonomi</w:t>
      </w:r>
      <w:proofErr w:type="spellEnd"/>
      <w:r>
        <w:rPr>
          <w:rStyle w:val="Emphasis"/>
        </w:rPr>
        <w:t xml:space="preserve"> Global, 10</w:t>
      </w:r>
      <w:r>
        <w:t xml:space="preserve">(2), 123–135. </w:t>
      </w:r>
      <w:hyperlink r:id="rId17" w:tgtFrame="_new" w:history="1">
        <w:r>
          <w:rPr>
            <w:rStyle w:val="Hyperlink"/>
          </w:rPr>
          <w:t>https://doi.org/10.21776/ub.jepa.2022.006.03.14</w:t>
        </w:r>
      </w:hyperlink>
    </w:p>
    <w:p w14:paraId="5717DE93" w14:textId="77777777" w:rsidR="00942D32" w:rsidRDefault="001C12B8" w:rsidP="00480390">
      <w:pPr>
        <w:pStyle w:val="NormalWeb"/>
        <w:spacing w:before="0" w:after="0"/>
        <w:ind w:left="567" w:hanging="567"/>
        <w:jc w:val="both"/>
      </w:pPr>
      <w:r>
        <w:t xml:space="preserve">International Trade Centre. (2024). </w:t>
      </w:r>
      <w:r>
        <w:rPr>
          <w:rStyle w:val="Emphasis"/>
        </w:rPr>
        <w:t>Trade Map: World areca nut exports 2012–2024</w:t>
      </w:r>
      <w:r>
        <w:t xml:space="preserve">. Retrieved from </w:t>
      </w:r>
      <w:hyperlink r:id="rId18" w:tgtFrame="_new" w:history="1">
        <w:r>
          <w:rPr>
            <w:rStyle w:val="Hyperlink"/>
          </w:rPr>
          <w:t>https://www.trademap.org/Country_SelProduct_TS.aspx?nvpm=1%7c%7c%7c%7c%7c080280%7c%7c%7c6%7c1%7c1%7c2%7c2%7c1%7c2%7c1%7c1%7c1</w:t>
        </w:r>
      </w:hyperlink>
    </w:p>
    <w:p w14:paraId="0FB66C5E" w14:textId="77777777" w:rsidR="00942D32" w:rsidRDefault="001C12B8" w:rsidP="00480390">
      <w:pPr>
        <w:pStyle w:val="NormalWeb"/>
        <w:spacing w:before="0" w:after="0"/>
        <w:ind w:left="567" w:hanging="567"/>
        <w:jc w:val="both"/>
      </w:pPr>
      <w:r>
        <w:t xml:space="preserve">Irwandi, P., &amp; Purwanti, A. (2024). Daya saing dan </w:t>
      </w:r>
      <w:proofErr w:type="spellStart"/>
      <w:r>
        <w:t>faktor-faktor</w:t>
      </w:r>
      <w:proofErr w:type="spellEnd"/>
      <w:r>
        <w:t xml:space="preserve"> yang </w:t>
      </w:r>
      <w:proofErr w:type="spellStart"/>
      <w:r>
        <w:t>mempengaruhi</w:t>
      </w:r>
      <w:proofErr w:type="spellEnd"/>
      <w:r>
        <w:t xml:space="preserve"> ekspor komoditas pinang di pasar internasional. </w:t>
      </w:r>
      <w:r>
        <w:rPr>
          <w:rStyle w:val="Emphasis"/>
        </w:rPr>
        <w:t>Journal of Agribusiness and Community Empowerment (JACE), 7</w:t>
      </w:r>
      <w:r>
        <w:t xml:space="preserve">(2), 56–70. </w:t>
      </w:r>
      <w:hyperlink r:id="rId19" w:tgtFrame="_new" w:history="1">
        <w:r>
          <w:rPr>
            <w:rStyle w:val="Hyperlink"/>
          </w:rPr>
          <w:t>https://doi.org/10.32530/jace.v7i2.782</w:t>
        </w:r>
      </w:hyperlink>
    </w:p>
    <w:p w14:paraId="08E5FD0B" w14:textId="77777777" w:rsidR="00942D32" w:rsidRDefault="001C12B8" w:rsidP="00480390">
      <w:pPr>
        <w:pStyle w:val="NormalWeb"/>
        <w:spacing w:before="0" w:after="0"/>
        <w:ind w:left="567" w:hanging="567"/>
        <w:jc w:val="both"/>
      </w:pPr>
      <w:r>
        <w:t xml:space="preserve">Leamer, E. E., &amp; Stern, R. M. (2006). </w:t>
      </w:r>
      <w:r>
        <w:rPr>
          <w:rStyle w:val="Emphasis"/>
        </w:rPr>
        <w:t>Quantitative international economics</w:t>
      </w:r>
      <w:r>
        <w:t xml:space="preserve"> (1st ed.). Routledge. </w:t>
      </w:r>
      <w:hyperlink r:id="rId20" w:tgtFrame="_new" w:history="1">
        <w:r>
          <w:rPr>
            <w:rStyle w:val="Hyperlink"/>
          </w:rPr>
          <w:t>https://doi.org/10.4324/9781315127897</w:t>
        </w:r>
      </w:hyperlink>
    </w:p>
    <w:p w14:paraId="1200B261" w14:textId="77777777" w:rsidR="00942D32" w:rsidRDefault="001C12B8" w:rsidP="00480390">
      <w:pPr>
        <w:pStyle w:val="NormalWeb"/>
        <w:spacing w:before="0" w:after="0"/>
        <w:ind w:left="567" w:hanging="567"/>
        <w:jc w:val="both"/>
      </w:pPr>
      <w:r>
        <w:lastRenderedPageBreak/>
        <w:t xml:space="preserve">Mankiw, N. G. (2006). </w:t>
      </w:r>
      <w:r>
        <w:rPr>
          <w:rStyle w:val="Emphasis"/>
        </w:rPr>
        <w:t>Principles of economics</w:t>
      </w:r>
      <w:r>
        <w:t xml:space="preserve"> (4th ed.). Mason, OH: South-Western Cengage Learning.</w:t>
      </w:r>
    </w:p>
    <w:p w14:paraId="7FB84571" w14:textId="77777777" w:rsidR="00942D32" w:rsidRDefault="001C12B8" w:rsidP="00480390">
      <w:pPr>
        <w:pStyle w:val="NormalWeb"/>
        <w:spacing w:before="0" w:after="0"/>
        <w:ind w:left="567" w:hanging="567"/>
        <w:jc w:val="both"/>
      </w:pPr>
      <w:proofErr w:type="spellStart"/>
      <w:r>
        <w:t>Pohan</w:t>
      </w:r>
      <w:proofErr w:type="spellEnd"/>
      <w:r>
        <w:t xml:space="preserve">, A. R., </w:t>
      </w:r>
      <w:proofErr w:type="spellStart"/>
      <w:r>
        <w:t>Maryunianta</w:t>
      </w:r>
      <w:proofErr w:type="spellEnd"/>
      <w:r>
        <w:t xml:space="preserve">, Y., &amp; </w:t>
      </w:r>
      <w:proofErr w:type="spellStart"/>
      <w:r>
        <w:t>Pinem</w:t>
      </w:r>
      <w:proofErr w:type="spellEnd"/>
      <w:r>
        <w:t xml:space="preserve">, N. F. (2023). Analisis </w:t>
      </w:r>
      <w:proofErr w:type="spellStart"/>
      <w:r>
        <w:t>kelayakan</w:t>
      </w:r>
      <w:proofErr w:type="spellEnd"/>
      <w:r>
        <w:t xml:space="preserve"> </w:t>
      </w:r>
      <w:proofErr w:type="spellStart"/>
      <w:r>
        <w:t>usaha</w:t>
      </w:r>
      <w:proofErr w:type="spellEnd"/>
      <w:r>
        <w:t xml:space="preserve"> </w:t>
      </w:r>
      <w:proofErr w:type="spellStart"/>
      <w:r>
        <w:t>pascapanen</w:t>
      </w:r>
      <w:proofErr w:type="spellEnd"/>
      <w:r>
        <w:t xml:space="preserve"> dan </w:t>
      </w:r>
      <w:proofErr w:type="spellStart"/>
      <w:r>
        <w:t>daya</w:t>
      </w:r>
      <w:proofErr w:type="spellEnd"/>
      <w:r>
        <w:t xml:space="preserve"> saing </w:t>
      </w:r>
      <w:proofErr w:type="spellStart"/>
      <w:r>
        <w:t>jahe</w:t>
      </w:r>
      <w:proofErr w:type="spellEnd"/>
      <w:r>
        <w:t xml:space="preserve"> </w:t>
      </w:r>
      <w:proofErr w:type="spellStart"/>
      <w:r>
        <w:t>Simalungun</w:t>
      </w:r>
      <w:proofErr w:type="spellEnd"/>
      <w:r>
        <w:t xml:space="preserve">. </w:t>
      </w:r>
      <w:r>
        <w:rPr>
          <w:rStyle w:val="Emphasis"/>
        </w:rPr>
        <w:t xml:space="preserve">Jurnal </w:t>
      </w:r>
      <w:proofErr w:type="spellStart"/>
      <w:r>
        <w:rPr>
          <w:rStyle w:val="Emphasis"/>
        </w:rPr>
        <w:t>Agribisnis</w:t>
      </w:r>
      <w:proofErr w:type="spellEnd"/>
      <w:r>
        <w:rPr>
          <w:rStyle w:val="Emphasis"/>
        </w:rPr>
        <w:t xml:space="preserve"> Indonesia (Journal of Indonesian Agribusiness), 11</w:t>
      </w:r>
      <w:r>
        <w:t xml:space="preserve">(1), 17–25. </w:t>
      </w:r>
      <w:hyperlink r:id="rId21" w:tgtFrame="_new" w:history="1">
        <w:r>
          <w:rPr>
            <w:rStyle w:val="Hyperlink"/>
          </w:rPr>
          <w:t>https://doi.org/10.29244/jai.2023.11.1.17-25</w:t>
        </w:r>
      </w:hyperlink>
    </w:p>
    <w:p w14:paraId="701172F4" w14:textId="77777777" w:rsidR="00942D32" w:rsidRDefault="001C12B8" w:rsidP="00480390">
      <w:pPr>
        <w:pStyle w:val="NormalWeb"/>
        <w:spacing w:before="0" w:after="0"/>
        <w:ind w:left="567" w:hanging="567"/>
        <w:jc w:val="both"/>
      </w:pPr>
      <w:r>
        <w:t xml:space="preserve">Rahman, A., &amp; Umar, J. (2024). Betel nut and betel leaf: Strengthening social relations through the tradition of chewing betel in the Islamic community in Kao Village, North Halmahera. </w:t>
      </w:r>
      <w:r>
        <w:rPr>
          <w:rStyle w:val="Emphasis"/>
        </w:rPr>
        <w:t>Open Journal of Social Sciences, 12</w:t>
      </w:r>
      <w:r>
        <w:t xml:space="preserve">(11), 722–755. </w:t>
      </w:r>
      <w:hyperlink r:id="rId22" w:tgtFrame="_new" w:history="1">
        <w:r>
          <w:rPr>
            <w:rStyle w:val="Hyperlink"/>
          </w:rPr>
          <w:t>https://doi.org/10.4236/jss.2024.1211050</w:t>
        </w:r>
      </w:hyperlink>
    </w:p>
    <w:p w14:paraId="1566823F" w14:textId="77777777" w:rsidR="00942D32" w:rsidRDefault="001C12B8" w:rsidP="00480390">
      <w:pPr>
        <w:pStyle w:val="NormalWeb"/>
        <w:spacing w:before="0" w:after="0"/>
        <w:ind w:left="567" w:hanging="567"/>
        <w:jc w:val="both"/>
      </w:pPr>
      <w:proofErr w:type="spellStart"/>
      <w:r>
        <w:t>Sandhiutami</w:t>
      </w:r>
      <w:proofErr w:type="spellEnd"/>
      <w:r>
        <w:t xml:space="preserve">, N. M. D., </w:t>
      </w:r>
      <w:proofErr w:type="spellStart"/>
      <w:r>
        <w:t>Fahleni</w:t>
      </w:r>
      <w:proofErr w:type="spellEnd"/>
      <w:r>
        <w:t xml:space="preserve">, F., </w:t>
      </w:r>
      <w:proofErr w:type="spellStart"/>
      <w:r>
        <w:t>Miftahurrohmah</w:t>
      </w:r>
      <w:proofErr w:type="spellEnd"/>
      <w:r>
        <w:t xml:space="preserve">, N., </w:t>
      </w:r>
      <w:proofErr w:type="spellStart"/>
      <w:r>
        <w:t>Widhiyasari</w:t>
      </w:r>
      <w:proofErr w:type="spellEnd"/>
      <w:r>
        <w:t xml:space="preserve">, N. K. A., Azalia, A., &amp; Amalia, I. (2023). Enhanced wound healing effect of Areca catechu L. ointment via antibacterial activity and anti-inflammatory process at grade IIA burns in rats. </w:t>
      </w:r>
      <w:r>
        <w:rPr>
          <w:rStyle w:val="Emphasis"/>
        </w:rPr>
        <w:t xml:space="preserve">Journal of </w:t>
      </w:r>
      <w:proofErr w:type="spellStart"/>
      <w:r>
        <w:rPr>
          <w:rStyle w:val="Emphasis"/>
        </w:rPr>
        <w:t>HerbMed</w:t>
      </w:r>
      <w:proofErr w:type="spellEnd"/>
      <w:r>
        <w:rPr>
          <w:rStyle w:val="Emphasis"/>
        </w:rPr>
        <w:t xml:space="preserve"> Pharmacology, 12</w:t>
      </w:r>
      <w:r>
        <w:t xml:space="preserve">(3), 388–398. </w:t>
      </w:r>
      <w:hyperlink r:id="rId23" w:tgtFrame="_new" w:history="1">
        <w:r>
          <w:rPr>
            <w:rStyle w:val="Hyperlink"/>
          </w:rPr>
          <w:t>https://doi.org/10.34172/jhp.2023.42</w:t>
        </w:r>
      </w:hyperlink>
    </w:p>
    <w:p w14:paraId="54D08965" w14:textId="77777777" w:rsidR="00942D32" w:rsidRDefault="001C12B8" w:rsidP="00480390">
      <w:pPr>
        <w:pStyle w:val="NormalWeb"/>
        <w:spacing w:before="0" w:after="0"/>
        <w:ind w:left="567" w:hanging="567"/>
        <w:jc w:val="both"/>
      </w:pPr>
      <w:r>
        <w:t xml:space="preserve">Santosa, R. P., </w:t>
      </w:r>
      <w:proofErr w:type="spellStart"/>
      <w:r>
        <w:t>Suroso</w:t>
      </w:r>
      <w:proofErr w:type="spellEnd"/>
      <w:r>
        <w:t xml:space="preserve">, A. I., &amp; Hadi, S. (2018). Daya saing komoditas </w:t>
      </w:r>
      <w:proofErr w:type="spellStart"/>
      <w:r>
        <w:t>hortikultura</w:t>
      </w:r>
      <w:proofErr w:type="spellEnd"/>
      <w:r>
        <w:t xml:space="preserve"> di pasar internasional: </w:t>
      </w:r>
      <w:proofErr w:type="spellStart"/>
      <w:r>
        <w:t>Pendekatan</w:t>
      </w:r>
      <w:proofErr w:type="spellEnd"/>
      <w:r>
        <w:t xml:space="preserve"> analisis EPD. </w:t>
      </w:r>
      <w:r>
        <w:rPr>
          <w:rStyle w:val="Emphasis"/>
        </w:rPr>
        <w:t xml:space="preserve">Jurnal </w:t>
      </w:r>
      <w:proofErr w:type="spellStart"/>
      <w:r>
        <w:rPr>
          <w:rStyle w:val="Emphasis"/>
        </w:rPr>
        <w:t>Ekonomi</w:t>
      </w:r>
      <w:proofErr w:type="spellEnd"/>
      <w:r>
        <w:rPr>
          <w:rStyle w:val="Emphasis"/>
        </w:rPr>
        <w:t xml:space="preserve"> dan </w:t>
      </w:r>
      <w:proofErr w:type="spellStart"/>
      <w:r>
        <w:rPr>
          <w:rStyle w:val="Emphasis"/>
        </w:rPr>
        <w:t>Kebijakan</w:t>
      </w:r>
      <w:proofErr w:type="spellEnd"/>
      <w:r>
        <w:rPr>
          <w:rStyle w:val="Emphasis"/>
        </w:rPr>
        <w:t xml:space="preserve"> Pembangunan, 13</w:t>
      </w:r>
      <w:r>
        <w:t xml:space="preserve">(4), 123–134. </w:t>
      </w:r>
      <w:hyperlink r:id="rId24" w:tgtFrame="_new" w:history="1">
        <w:r>
          <w:rPr>
            <w:rStyle w:val="Hyperlink"/>
          </w:rPr>
          <w:t>https://doi.org/10.29244/jekp.5.2.2016.68-86</w:t>
        </w:r>
      </w:hyperlink>
    </w:p>
    <w:p w14:paraId="7F30FA1B" w14:textId="77777777" w:rsidR="00942D32" w:rsidRDefault="001C12B8" w:rsidP="00480390">
      <w:pPr>
        <w:pStyle w:val="NormalWeb"/>
        <w:spacing w:before="0" w:after="0"/>
        <w:ind w:left="567" w:hanging="567"/>
        <w:jc w:val="both"/>
      </w:pPr>
      <w:r>
        <w:t xml:space="preserve">Wan, G., Wang, X., &amp; Yang, D. (2010). Globalization and regional income inequality: Empirical evidence from within China. </w:t>
      </w:r>
      <w:r>
        <w:rPr>
          <w:rStyle w:val="Emphasis"/>
        </w:rPr>
        <w:t>Review of Income and Wealth, 56</w:t>
      </w:r>
      <w:r>
        <w:t xml:space="preserve">(s1), S98–S126. </w:t>
      </w:r>
      <w:hyperlink r:id="rId25" w:tgtFrame="_new" w:history="1">
        <w:r>
          <w:rPr>
            <w:rStyle w:val="Hyperlink"/>
          </w:rPr>
          <w:t>https://doi.org/10.1111/j.1475-4991.2010.00385.x</w:t>
        </w:r>
      </w:hyperlink>
    </w:p>
    <w:p w14:paraId="6A866699" w14:textId="5FA2AF6E" w:rsidR="001C12B8" w:rsidRDefault="001C12B8" w:rsidP="00480390">
      <w:pPr>
        <w:pStyle w:val="NormalWeb"/>
        <w:spacing w:before="0" w:after="0"/>
        <w:ind w:left="567" w:hanging="567"/>
        <w:jc w:val="both"/>
      </w:pPr>
      <w:r>
        <w:t xml:space="preserve">Wijaya, E., </w:t>
      </w:r>
      <w:proofErr w:type="spellStart"/>
      <w:r>
        <w:t>Judijanto</w:t>
      </w:r>
      <w:proofErr w:type="spellEnd"/>
      <w:r>
        <w:t xml:space="preserve">, L., Masri, M., Deseria, R., </w:t>
      </w:r>
      <w:proofErr w:type="spellStart"/>
      <w:r>
        <w:t>Hariyanti</w:t>
      </w:r>
      <w:proofErr w:type="spellEnd"/>
      <w:r>
        <w:t xml:space="preserve">, D., </w:t>
      </w:r>
      <w:proofErr w:type="spellStart"/>
      <w:r>
        <w:t>Parmadi</w:t>
      </w:r>
      <w:proofErr w:type="spellEnd"/>
      <w:r>
        <w:t xml:space="preserve">, P., &amp; </w:t>
      </w:r>
      <w:proofErr w:type="spellStart"/>
      <w:r>
        <w:t>Sirait</w:t>
      </w:r>
      <w:proofErr w:type="spellEnd"/>
      <w:r>
        <w:t xml:space="preserve">, K. H. (2025). </w:t>
      </w:r>
      <w:proofErr w:type="spellStart"/>
      <w:r>
        <w:rPr>
          <w:rStyle w:val="Emphasis"/>
        </w:rPr>
        <w:t>Ekonomika</w:t>
      </w:r>
      <w:proofErr w:type="spellEnd"/>
      <w:r>
        <w:rPr>
          <w:rStyle w:val="Emphasis"/>
        </w:rPr>
        <w:t xml:space="preserve"> </w:t>
      </w:r>
      <w:proofErr w:type="spellStart"/>
      <w:r>
        <w:rPr>
          <w:rStyle w:val="Emphasis"/>
        </w:rPr>
        <w:t>mikro</w:t>
      </w:r>
      <w:proofErr w:type="spellEnd"/>
      <w:r>
        <w:rPr>
          <w:rStyle w:val="Emphasis"/>
        </w:rPr>
        <w:t xml:space="preserve"> </w:t>
      </w:r>
      <w:proofErr w:type="spellStart"/>
      <w:r>
        <w:rPr>
          <w:rStyle w:val="Emphasis"/>
        </w:rPr>
        <w:t>pengantar</w:t>
      </w:r>
      <w:proofErr w:type="spellEnd"/>
      <w:r>
        <w:t xml:space="preserve">. Jakarta: PT. </w:t>
      </w:r>
      <w:proofErr w:type="spellStart"/>
      <w:r>
        <w:t>Sonpedia</w:t>
      </w:r>
      <w:proofErr w:type="spellEnd"/>
      <w:r>
        <w:t xml:space="preserve"> Publishing Indonesia.</w:t>
      </w:r>
    </w:p>
    <w:p w14:paraId="2AD9CBBE" w14:textId="79E22193" w:rsidR="009F3671" w:rsidRDefault="009F3671" w:rsidP="00EB19DA">
      <w:pPr>
        <w:widowControl w:val="0"/>
        <w:spacing w:after="0"/>
        <w:ind w:left="567" w:firstLine="425"/>
        <w:contextualSpacing/>
        <w:jc w:val="both"/>
        <w:textAlignment w:val="baseline"/>
        <w:rPr>
          <w:sz w:val="24"/>
          <w:szCs w:val="24"/>
          <w:lang w:val="en-ID"/>
        </w:rPr>
      </w:pPr>
    </w:p>
    <w:p w14:paraId="732EF83D" w14:textId="77777777" w:rsidR="001C12B8" w:rsidRPr="00DC7DE8" w:rsidRDefault="001C12B8" w:rsidP="00EB19DA">
      <w:pPr>
        <w:widowControl w:val="0"/>
        <w:spacing w:after="0"/>
        <w:ind w:left="567" w:firstLine="425"/>
        <w:contextualSpacing/>
        <w:jc w:val="both"/>
        <w:textAlignment w:val="baseline"/>
        <w:rPr>
          <w:sz w:val="24"/>
          <w:szCs w:val="24"/>
          <w:lang w:val="en-ID"/>
        </w:rPr>
      </w:pPr>
    </w:p>
    <w:p w14:paraId="440C670A" w14:textId="77777777" w:rsidR="009F3671" w:rsidRPr="004629DA" w:rsidRDefault="009F3671" w:rsidP="00EB19DA">
      <w:pPr>
        <w:widowControl w:val="0"/>
        <w:spacing w:after="0"/>
        <w:ind w:left="567" w:firstLine="425"/>
        <w:contextualSpacing/>
        <w:jc w:val="both"/>
        <w:textAlignment w:val="baseline"/>
        <w:rPr>
          <w:sz w:val="24"/>
          <w:szCs w:val="24"/>
          <w:lang w:val="en-ID"/>
        </w:rPr>
      </w:pPr>
    </w:p>
    <w:p w14:paraId="602A36E8" w14:textId="77777777" w:rsidR="009D4DE8" w:rsidRPr="00FC7CD5" w:rsidRDefault="009D4DE8" w:rsidP="00EB19DA">
      <w:pPr>
        <w:widowControl w:val="0"/>
        <w:spacing w:after="0"/>
        <w:ind w:left="567" w:firstLine="425"/>
        <w:contextualSpacing/>
        <w:jc w:val="both"/>
        <w:textAlignment w:val="baseline"/>
        <w:rPr>
          <w:sz w:val="24"/>
          <w:szCs w:val="24"/>
          <w:lang w:val="en-ID"/>
        </w:rPr>
      </w:pPr>
    </w:p>
    <w:p w14:paraId="6ADAF972" w14:textId="77777777" w:rsidR="00E56C0A" w:rsidRPr="001E59F1" w:rsidRDefault="00E56C0A" w:rsidP="00EB19DA">
      <w:pPr>
        <w:widowControl w:val="0"/>
        <w:spacing w:after="0"/>
        <w:ind w:left="567" w:firstLine="425"/>
        <w:contextualSpacing/>
        <w:jc w:val="both"/>
        <w:textAlignment w:val="baseline"/>
        <w:rPr>
          <w:sz w:val="24"/>
          <w:szCs w:val="24"/>
        </w:rPr>
      </w:pPr>
    </w:p>
    <w:p w14:paraId="6B3F0BAA" w14:textId="16FCD8F6" w:rsidR="00065E51" w:rsidRPr="001E59F1" w:rsidRDefault="00065E51" w:rsidP="00EB19DA">
      <w:pPr>
        <w:spacing w:after="0"/>
        <w:ind w:firstLine="425"/>
        <w:rPr>
          <w:sz w:val="24"/>
          <w:szCs w:val="24"/>
        </w:rPr>
      </w:pPr>
    </w:p>
    <w:sectPr w:rsidR="00065E51" w:rsidRPr="001E59F1" w:rsidSect="00065E51">
      <w:type w:val="continuous"/>
      <w:pgSz w:w="11906" w:h="16838"/>
      <w:pgMar w:top="1701" w:right="1418" w:bottom="1418" w:left="1418" w:header="720" w:footer="720"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1A269" w14:textId="77777777" w:rsidR="004614B4" w:rsidRDefault="004614B4" w:rsidP="00E353A6">
      <w:pPr>
        <w:spacing w:after="0"/>
      </w:pPr>
      <w:r>
        <w:separator/>
      </w:r>
    </w:p>
  </w:endnote>
  <w:endnote w:type="continuationSeparator" w:id="0">
    <w:p w14:paraId="7246A3D2" w14:textId="77777777" w:rsidR="004614B4" w:rsidRDefault="004614B4" w:rsidP="00E353A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404">
    <w:altName w:val="Cambria"/>
    <w:charset w:val="00"/>
    <w:family w:val="auto"/>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Che">
    <w:altName w:val="BatangChe"/>
    <w:charset w:val="81"/>
    <w:family w:val="modern"/>
    <w:pitch w:val="fixed"/>
    <w:sig w:usb0="B00002AF" w:usb1="69D77CFB" w:usb2="00000030" w:usb3="00000000" w:csb0="000800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erriweather">
    <w:charset w:val="00"/>
    <w:family w:val="auto"/>
    <w:pitch w:val="variable"/>
    <w:sig w:usb0="20000207" w:usb1="00000002" w:usb2="00000000" w:usb3="00000000" w:csb0="00000197"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317BB" w14:textId="77777777" w:rsidR="004614B4" w:rsidRDefault="004614B4" w:rsidP="00E353A6">
      <w:pPr>
        <w:spacing w:after="0"/>
      </w:pPr>
      <w:r>
        <w:separator/>
      </w:r>
    </w:p>
  </w:footnote>
  <w:footnote w:type="continuationSeparator" w:id="0">
    <w:p w14:paraId="49E2EA0B" w14:textId="77777777" w:rsidR="004614B4" w:rsidRDefault="004614B4" w:rsidP="00E353A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multilevel"/>
    <w:tmpl w:val="00000002"/>
    <w:name w:val="WWNum2"/>
    <w:lvl w:ilvl="0">
      <w:start w:val="1"/>
      <w:numFmt w:val="bullet"/>
      <w:lvlText w:val=""/>
      <w:lvlJc w:val="left"/>
      <w:pPr>
        <w:tabs>
          <w:tab w:val="num" w:pos="0"/>
        </w:tabs>
        <w:ind w:left="571" w:hanging="283"/>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bullet"/>
      <w:lvlText w:val=""/>
      <w:lvlJc w:val="left"/>
      <w:pPr>
        <w:tabs>
          <w:tab w:val="num" w:pos="0"/>
        </w:tabs>
        <w:ind w:left="1145" w:hanging="283"/>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Num4"/>
    <w:lvl w:ilvl="0">
      <w:start w:val="1"/>
      <w:numFmt w:val="lowerLetter"/>
      <w:lvlText w:val="%1)"/>
      <w:lvlJc w:val="left"/>
      <w:pPr>
        <w:tabs>
          <w:tab w:val="num" w:pos="0"/>
        </w:tabs>
        <w:ind w:left="1060" w:hanging="360"/>
      </w:pPr>
    </w:lvl>
    <w:lvl w:ilvl="1">
      <w:start w:val="1"/>
      <w:numFmt w:val="lowerLetter"/>
      <w:lvlText w:val="%2."/>
      <w:lvlJc w:val="left"/>
      <w:pPr>
        <w:tabs>
          <w:tab w:val="num" w:pos="0"/>
        </w:tabs>
        <w:ind w:left="1780" w:hanging="360"/>
      </w:pPr>
    </w:lvl>
    <w:lvl w:ilvl="2">
      <w:start w:val="1"/>
      <w:numFmt w:val="lowerRoman"/>
      <w:lvlText w:val="%3."/>
      <w:lvlJc w:val="right"/>
      <w:pPr>
        <w:tabs>
          <w:tab w:val="num" w:pos="0"/>
        </w:tabs>
        <w:ind w:left="2500" w:hanging="180"/>
      </w:pPr>
    </w:lvl>
    <w:lvl w:ilvl="3">
      <w:start w:val="1"/>
      <w:numFmt w:val="decimal"/>
      <w:lvlText w:val="%4."/>
      <w:lvlJc w:val="left"/>
      <w:pPr>
        <w:tabs>
          <w:tab w:val="num" w:pos="0"/>
        </w:tabs>
        <w:ind w:left="3220" w:hanging="360"/>
      </w:pPr>
    </w:lvl>
    <w:lvl w:ilvl="4">
      <w:start w:val="1"/>
      <w:numFmt w:val="lowerLetter"/>
      <w:lvlText w:val="%5."/>
      <w:lvlJc w:val="left"/>
      <w:pPr>
        <w:tabs>
          <w:tab w:val="num" w:pos="0"/>
        </w:tabs>
        <w:ind w:left="3940" w:hanging="360"/>
      </w:pPr>
    </w:lvl>
    <w:lvl w:ilvl="5">
      <w:start w:val="1"/>
      <w:numFmt w:val="lowerRoman"/>
      <w:lvlText w:val="%6."/>
      <w:lvlJc w:val="right"/>
      <w:pPr>
        <w:tabs>
          <w:tab w:val="num" w:pos="0"/>
        </w:tabs>
        <w:ind w:left="4660" w:hanging="180"/>
      </w:pPr>
    </w:lvl>
    <w:lvl w:ilvl="6">
      <w:start w:val="1"/>
      <w:numFmt w:val="decimal"/>
      <w:lvlText w:val="%7."/>
      <w:lvlJc w:val="left"/>
      <w:pPr>
        <w:tabs>
          <w:tab w:val="num" w:pos="0"/>
        </w:tabs>
        <w:ind w:left="5380" w:hanging="360"/>
      </w:pPr>
    </w:lvl>
    <w:lvl w:ilvl="7">
      <w:start w:val="1"/>
      <w:numFmt w:val="lowerLetter"/>
      <w:lvlText w:val="%8."/>
      <w:lvlJc w:val="left"/>
      <w:pPr>
        <w:tabs>
          <w:tab w:val="num" w:pos="0"/>
        </w:tabs>
        <w:ind w:left="6100" w:hanging="360"/>
      </w:pPr>
    </w:lvl>
    <w:lvl w:ilvl="8">
      <w:start w:val="1"/>
      <w:numFmt w:val="lowerRoman"/>
      <w:lvlText w:val="%9."/>
      <w:lvlJc w:val="right"/>
      <w:pPr>
        <w:tabs>
          <w:tab w:val="num" w:pos="0"/>
        </w:tabs>
        <w:ind w:left="6820" w:hanging="180"/>
      </w:pPr>
    </w:lvl>
  </w:abstractNum>
  <w:abstractNum w:abstractNumId="4" w15:restartNumberingAfterBreak="0">
    <w:nsid w:val="00000005"/>
    <w:multiLevelType w:val="multilevel"/>
    <w:tmpl w:val="00000005"/>
    <w:name w:val="WWNum5"/>
    <w:lvl w:ilvl="0">
      <w:start w:val="1"/>
      <w:numFmt w:val="bullet"/>
      <w:lvlText w:val=""/>
      <w:lvlJc w:val="left"/>
      <w:pPr>
        <w:tabs>
          <w:tab w:val="num" w:pos="0"/>
        </w:tabs>
        <w:ind w:left="700" w:hanging="360"/>
      </w:pPr>
      <w:rPr>
        <w:rFonts w:ascii="Symbol" w:hAnsi="Symbol"/>
      </w:rPr>
    </w:lvl>
    <w:lvl w:ilvl="1">
      <w:start w:val="1"/>
      <w:numFmt w:val="bullet"/>
      <w:lvlText w:val="o"/>
      <w:lvlJc w:val="left"/>
      <w:pPr>
        <w:tabs>
          <w:tab w:val="num" w:pos="0"/>
        </w:tabs>
        <w:ind w:left="1420" w:hanging="360"/>
      </w:pPr>
      <w:rPr>
        <w:rFonts w:ascii="Courier New" w:hAnsi="Courier New"/>
      </w:rPr>
    </w:lvl>
    <w:lvl w:ilvl="2">
      <w:start w:val="1"/>
      <w:numFmt w:val="bullet"/>
      <w:lvlText w:val=""/>
      <w:lvlJc w:val="left"/>
      <w:pPr>
        <w:tabs>
          <w:tab w:val="num" w:pos="0"/>
        </w:tabs>
        <w:ind w:left="2140" w:hanging="360"/>
      </w:pPr>
      <w:rPr>
        <w:rFonts w:ascii="Wingdings" w:hAnsi="Wingdings"/>
      </w:rPr>
    </w:lvl>
    <w:lvl w:ilvl="3">
      <w:start w:val="1"/>
      <w:numFmt w:val="bullet"/>
      <w:lvlText w:val=""/>
      <w:lvlJc w:val="left"/>
      <w:pPr>
        <w:tabs>
          <w:tab w:val="num" w:pos="0"/>
        </w:tabs>
        <w:ind w:left="2860" w:hanging="360"/>
      </w:pPr>
      <w:rPr>
        <w:rFonts w:ascii="Symbol" w:hAnsi="Symbol"/>
      </w:rPr>
    </w:lvl>
    <w:lvl w:ilvl="4">
      <w:start w:val="1"/>
      <w:numFmt w:val="bullet"/>
      <w:lvlText w:val="o"/>
      <w:lvlJc w:val="left"/>
      <w:pPr>
        <w:tabs>
          <w:tab w:val="num" w:pos="0"/>
        </w:tabs>
        <w:ind w:left="3580" w:hanging="360"/>
      </w:pPr>
      <w:rPr>
        <w:rFonts w:ascii="Courier New" w:hAnsi="Courier New"/>
      </w:rPr>
    </w:lvl>
    <w:lvl w:ilvl="5">
      <w:start w:val="1"/>
      <w:numFmt w:val="bullet"/>
      <w:lvlText w:val=""/>
      <w:lvlJc w:val="left"/>
      <w:pPr>
        <w:tabs>
          <w:tab w:val="num" w:pos="0"/>
        </w:tabs>
        <w:ind w:left="4300" w:hanging="360"/>
      </w:pPr>
      <w:rPr>
        <w:rFonts w:ascii="Wingdings" w:hAnsi="Wingdings"/>
      </w:rPr>
    </w:lvl>
    <w:lvl w:ilvl="6">
      <w:start w:val="1"/>
      <w:numFmt w:val="bullet"/>
      <w:lvlText w:val=""/>
      <w:lvlJc w:val="left"/>
      <w:pPr>
        <w:tabs>
          <w:tab w:val="num" w:pos="0"/>
        </w:tabs>
        <w:ind w:left="5020" w:hanging="360"/>
      </w:pPr>
      <w:rPr>
        <w:rFonts w:ascii="Symbol" w:hAnsi="Symbol"/>
      </w:rPr>
    </w:lvl>
    <w:lvl w:ilvl="7">
      <w:start w:val="1"/>
      <w:numFmt w:val="bullet"/>
      <w:lvlText w:val="o"/>
      <w:lvlJc w:val="left"/>
      <w:pPr>
        <w:tabs>
          <w:tab w:val="num" w:pos="0"/>
        </w:tabs>
        <w:ind w:left="5740" w:hanging="360"/>
      </w:pPr>
      <w:rPr>
        <w:rFonts w:ascii="Courier New" w:hAnsi="Courier New"/>
      </w:rPr>
    </w:lvl>
    <w:lvl w:ilvl="8">
      <w:start w:val="1"/>
      <w:numFmt w:val="bullet"/>
      <w:lvlText w:val=""/>
      <w:lvlJc w:val="left"/>
      <w:pPr>
        <w:tabs>
          <w:tab w:val="num" w:pos="0"/>
        </w:tabs>
        <w:ind w:left="6460" w:hanging="360"/>
      </w:pPr>
      <w:rPr>
        <w:rFonts w:ascii="Wingdings" w:hAnsi="Wingdings"/>
      </w:rPr>
    </w:lvl>
  </w:abstractNum>
  <w:abstractNum w:abstractNumId="5" w15:restartNumberingAfterBreak="0">
    <w:nsid w:val="00000006"/>
    <w:multiLevelType w:val="multilevel"/>
    <w:tmpl w:val="00000006"/>
    <w:name w:val="WWNum6"/>
    <w:lvl w:ilvl="0">
      <w:start w:val="1"/>
      <w:numFmt w:val="bullet"/>
      <w:lvlText w:val=""/>
      <w:lvlJc w:val="left"/>
      <w:pPr>
        <w:tabs>
          <w:tab w:val="num" w:pos="0"/>
        </w:tabs>
        <w:ind w:left="70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6" w15:restartNumberingAfterBreak="0">
    <w:nsid w:val="00000007"/>
    <w:multiLevelType w:val="multilevel"/>
    <w:tmpl w:val="00000007"/>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1C657FE6"/>
    <w:multiLevelType w:val="hybridMultilevel"/>
    <w:tmpl w:val="6D8C0410"/>
    <w:lvl w:ilvl="0" w:tplc="E61EB42C">
      <w:start w:val="1"/>
      <w:numFmt w:val="lowerLetter"/>
      <w:lvlText w:val="%1."/>
      <w:lvlJc w:val="left"/>
      <w:pPr>
        <w:ind w:left="1069" w:hanging="360"/>
      </w:pPr>
      <w:rPr>
        <w:rFonts w:hint="default"/>
        <w:b/>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8" w15:restartNumberingAfterBreak="0">
    <w:nsid w:val="1F18087D"/>
    <w:multiLevelType w:val="hybridMultilevel"/>
    <w:tmpl w:val="5E929706"/>
    <w:lvl w:ilvl="0" w:tplc="5244566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741663"/>
    <w:multiLevelType w:val="hybridMultilevel"/>
    <w:tmpl w:val="1E18C56A"/>
    <w:lvl w:ilvl="0" w:tplc="64A6B01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29E43D74"/>
    <w:multiLevelType w:val="hybridMultilevel"/>
    <w:tmpl w:val="78CC9A3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3C204A7D"/>
    <w:multiLevelType w:val="hybridMultilevel"/>
    <w:tmpl w:val="9FF63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FA41E1"/>
    <w:multiLevelType w:val="hybridMultilevel"/>
    <w:tmpl w:val="14BE14B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4619607C"/>
    <w:multiLevelType w:val="hybridMultilevel"/>
    <w:tmpl w:val="8C4CCBB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6F026D12"/>
    <w:multiLevelType w:val="hybridMultilevel"/>
    <w:tmpl w:val="192C237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77222A97"/>
    <w:multiLevelType w:val="hybridMultilevel"/>
    <w:tmpl w:val="FA6831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8E77EFA"/>
    <w:multiLevelType w:val="hybridMultilevel"/>
    <w:tmpl w:val="CAA0E4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D554E3"/>
    <w:multiLevelType w:val="multilevel"/>
    <w:tmpl w:val="9CE6A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8"/>
  </w:num>
  <w:num w:numId="9">
    <w:abstractNumId w:val="9"/>
  </w:num>
  <w:num w:numId="10">
    <w:abstractNumId w:val="15"/>
  </w:num>
  <w:num w:numId="11">
    <w:abstractNumId w:val="11"/>
  </w:num>
  <w:num w:numId="12">
    <w:abstractNumId w:val="16"/>
  </w:num>
  <w:num w:numId="13">
    <w:abstractNumId w:val="17"/>
  </w:num>
  <w:num w:numId="14">
    <w:abstractNumId w:val="14"/>
  </w:num>
  <w:num w:numId="15">
    <w:abstractNumId w:val="12"/>
  </w:num>
  <w:num w:numId="16">
    <w:abstractNumId w:val="7"/>
  </w:num>
  <w:num w:numId="17">
    <w:abstractNumId w:val="10"/>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zMrA0NzWzNDe0MDJS0lEKTi0uzszPAykwNqwFAD3S2a0tAAAA"/>
  </w:docVars>
  <w:rsids>
    <w:rsidRoot w:val="00AF31C1"/>
    <w:rsid w:val="0002535F"/>
    <w:rsid w:val="0002588E"/>
    <w:rsid w:val="00030A77"/>
    <w:rsid w:val="000435C7"/>
    <w:rsid w:val="00053F44"/>
    <w:rsid w:val="000540F5"/>
    <w:rsid w:val="00065E51"/>
    <w:rsid w:val="00090623"/>
    <w:rsid w:val="00095072"/>
    <w:rsid w:val="000961F5"/>
    <w:rsid w:val="000A0791"/>
    <w:rsid w:val="000A1B88"/>
    <w:rsid w:val="000B3A29"/>
    <w:rsid w:val="000B7F6B"/>
    <w:rsid w:val="000C13C6"/>
    <w:rsid w:val="000E4D66"/>
    <w:rsid w:val="000E6FC2"/>
    <w:rsid w:val="0011239A"/>
    <w:rsid w:val="0011385B"/>
    <w:rsid w:val="00117BBE"/>
    <w:rsid w:val="001753D8"/>
    <w:rsid w:val="001803E5"/>
    <w:rsid w:val="001975B0"/>
    <w:rsid w:val="001A173D"/>
    <w:rsid w:val="001B0A89"/>
    <w:rsid w:val="001C12B8"/>
    <w:rsid w:val="001D3C57"/>
    <w:rsid w:val="001D6431"/>
    <w:rsid w:val="001E59F1"/>
    <w:rsid w:val="00212E07"/>
    <w:rsid w:val="00257907"/>
    <w:rsid w:val="00271E25"/>
    <w:rsid w:val="00280A68"/>
    <w:rsid w:val="002979B3"/>
    <w:rsid w:val="002B307A"/>
    <w:rsid w:val="002C3C44"/>
    <w:rsid w:val="002C5EDA"/>
    <w:rsid w:val="002D3A04"/>
    <w:rsid w:val="002E1C1E"/>
    <w:rsid w:val="002F2C8C"/>
    <w:rsid w:val="0030712E"/>
    <w:rsid w:val="00322B20"/>
    <w:rsid w:val="003270A3"/>
    <w:rsid w:val="00342370"/>
    <w:rsid w:val="003515BA"/>
    <w:rsid w:val="00352EAF"/>
    <w:rsid w:val="00353574"/>
    <w:rsid w:val="0037233E"/>
    <w:rsid w:val="00372C70"/>
    <w:rsid w:val="003739E6"/>
    <w:rsid w:val="00376591"/>
    <w:rsid w:val="0038318D"/>
    <w:rsid w:val="0039166D"/>
    <w:rsid w:val="003C28EB"/>
    <w:rsid w:val="003D08D8"/>
    <w:rsid w:val="003D7D4A"/>
    <w:rsid w:val="003E6315"/>
    <w:rsid w:val="00404D8A"/>
    <w:rsid w:val="00406AA0"/>
    <w:rsid w:val="004076E2"/>
    <w:rsid w:val="00414453"/>
    <w:rsid w:val="00416EBB"/>
    <w:rsid w:val="00440AC5"/>
    <w:rsid w:val="00443B72"/>
    <w:rsid w:val="00455B22"/>
    <w:rsid w:val="00460BDA"/>
    <w:rsid w:val="004614B4"/>
    <w:rsid w:val="004629DA"/>
    <w:rsid w:val="00464FB4"/>
    <w:rsid w:val="0047045A"/>
    <w:rsid w:val="00480390"/>
    <w:rsid w:val="004C2007"/>
    <w:rsid w:val="004D7AE2"/>
    <w:rsid w:val="004E19B6"/>
    <w:rsid w:val="004E7BAB"/>
    <w:rsid w:val="00520744"/>
    <w:rsid w:val="00531764"/>
    <w:rsid w:val="005365A1"/>
    <w:rsid w:val="00542747"/>
    <w:rsid w:val="00547B7F"/>
    <w:rsid w:val="0055324A"/>
    <w:rsid w:val="00576807"/>
    <w:rsid w:val="005830B3"/>
    <w:rsid w:val="00587A7C"/>
    <w:rsid w:val="005A3102"/>
    <w:rsid w:val="005A38DD"/>
    <w:rsid w:val="005A43C8"/>
    <w:rsid w:val="005D3AA6"/>
    <w:rsid w:val="005D3E88"/>
    <w:rsid w:val="005D49A5"/>
    <w:rsid w:val="005E47DD"/>
    <w:rsid w:val="005F5B7F"/>
    <w:rsid w:val="005F7BFB"/>
    <w:rsid w:val="00611F2A"/>
    <w:rsid w:val="00625117"/>
    <w:rsid w:val="00626549"/>
    <w:rsid w:val="006457E5"/>
    <w:rsid w:val="00663FD9"/>
    <w:rsid w:val="006668F2"/>
    <w:rsid w:val="0069041E"/>
    <w:rsid w:val="006969CB"/>
    <w:rsid w:val="006A5E0E"/>
    <w:rsid w:val="006B6F45"/>
    <w:rsid w:val="006C56EA"/>
    <w:rsid w:val="006D0105"/>
    <w:rsid w:val="006D3549"/>
    <w:rsid w:val="006E1B85"/>
    <w:rsid w:val="006E640C"/>
    <w:rsid w:val="006E7F74"/>
    <w:rsid w:val="006F1FFF"/>
    <w:rsid w:val="006F3565"/>
    <w:rsid w:val="006F35FB"/>
    <w:rsid w:val="00700C81"/>
    <w:rsid w:val="00701AA9"/>
    <w:rsid w:val="00721F26"/>
    <w:rsid w:val="00737336"/>
    <w:rsid w:val="00744007"/>
    <w:rsid w:val="007514FE"/>
    <w:rsid w:val="00772122"/>
    <w:rsid w:val="007744E5"/>
    <w:rsid w:val="007B2BB5"/>
    <w:rsid w:val="007C32ED"/>
    <w:rsid w:val="007C7969"/>
    <w:rsid w:val="007F6099"/>
    <w:rsid w:val="008046E9"/>
    <w:rsid w:val="00836F55"/>
    <w:rsid w:val="0084363F"/>
    <w:rsid w:val="008438C7"/>
    <w:rsid w:val="00844E26"/>
    <w:rsid w:val="00851A0D"/>
    <w:rsid w:val="00852147"/>
    <w:rsid w:val="00875858"/>
    <w:rsid w:val="00881EDF"/>
    <w:rsid w:val="008A19F7"/>
    <w:rsid w:val="008B073F"/>
    <w:rsid w:val="008C0F60"/>
    <w:rsid w:val="008D62E9"/>
    <w:rsid w:val="008F22FC"/>
    <w:rsid w:val="008F735F"/>
    <w:rsid w:val="009073BB"/>
    <w:rsid w:val="00932841"/>
    <w:rsid w:val="0094299C"/>
    <w:rsid w:val="00942D32"/>
    <w:rsid w:val="00965005"/>
    <w:rsid w:val="0097532B"/>
    <w:rsid w:val="009800B1"/>
    <w:rsid w:val="009819D1"/>
    <w:rsid w:val="009861B4"/>
    <w:rsid w:val="009B08CC"/>
    <w:rsid w:val="009B4261"/>
    <w:rsid w:val="009B659D"/>
    <w:rsid w:val="009C202C"/>
    <w:rsid w:val="009D4DE8"/>
    <w:rsid w:val="009D5342"/>
    <w:rsid w:val="009E31EF"/>
    <w:rsid w:val="009E50AD"/>
    <w:rsid w:val="009E6C30"/>
    <w:rsid w:val="009F3671"/>
    <w:rsid w:val="00A12D34"/>
    <w:rsid w:val="00A13C65"/>
    <w:rsid w:val="00A15AD0"/>
    <w:rsid w:val="00A304F0"/>
    <w:rsid w:val="00A4122B"/>
    <w:rsid w:val="00A518CB"/>
    <w:rsid w:val="00A53A89"/>
    <w:rsid w:val="00A567D8"/>
    <w:rsid w:val="00A70704"/>
    <w:rsid w:val="00A70B9E"/>
    <w:rsid w:val="00A720E2"/>
    <w:rsid w:val="00A77F5E"/>
    <w:rsid w:val="00A80BD5"/>
    <w:rsid w:val="00A84B47"/>
    <w:rsid w:val="00A856F4"/>
    <w:rsid w:val="00A863E8"/>
    <w:rsid w:val="00A873D0"/>
    <w:rsid w:val="00A916A4"/>
    <w:rsid w:val="00A9709C"/>
    <w:rsid w:val="00AA35E9"/>
    <w:rsid w:val="00AA502F"/>
    <w:rsid w:val="00AD18D4"/>
    <w:rsid w:val="00AD2DE8"/>
    <w:rsid w:val="00AF0FC6"/>
    <w:rsid w:val="00AF31C1"/>
    <w:rsid w:val="00AF4B1D"/>
    <w:rsid w:val="00B03498"/>
    <w:rsid w:val="00B15F4B"/>
    <w:rsid w:val="00B2108B"/>
    <w:rsid w:val="00B268B5"/>
    <w:rsid w:val="00B42124"/>
    <w:rsid w:val="00B46529"/>
    <w:rsid w:val="00B47223"/>
    <w:rsid w:val="00B60F7C"/>
    <w:rsid w:val="00B6374C"/>
    <w:rsid w:val="00B66849"/>
    <w:rsid w:val="00B726D6"/>
    <w:rsid w:val="00B9575A"/>
    <w:rsid w:val="00BA3F84"/>
    <w:rsid w:val="00BB0DE9"/>
    <w:rsid w:val="00BB2909"/>
    <w:rsid w:val="00BB34D2"/>
    <w:rsid w:val="00BB55C9"/>
    <w:rsid w:val="00BD1063"/>
    <w:rsid w:val="00BD50C1"/>
    <w:rsid w:val="00BE7E9B"/>
    <w:rsid w:val="00C012F9"/>
    <w:rsid w:val="00C06D30"/>
    <w:rsid w:val="00C14ED7"/>
    <w:rsid w:val="00C32D1E"/>
    <w:rsid w:val="00C43A7A"/>
    <w:rsid w:val="00C458DD"/>
    <w:rsid w:val="00C60E80"/>
    <w:rsid w:val="00C61BE9"/>
    <w:rsid w:val="00C65BD7"/>
    <w:rsid w:val="00C673CE"/>
    <w:rsid w:val="00C714C2"/>
    <w:rsid w:val="00C71C56"/>
    <w:rsid w:val="00C72969"/>
    <w:rsid w:val="00CB008F"/>
    <w:rsid w:val="00CB1582"/>
    <w:rsid w:val="00CC38D2"/>
    <w:rsid w:val="00CC3B18"/>
    <w:rsid w:val="00CC5EF4"/>
    <w:rsid w:val="00CD4094"/>
    <w:rsid w:val="00CE001F"/>
    <w:rsid w:val="00CE490A"/>
    <w:rsid w:val="00CF5C4D"/>
    <w:rsid w:val="00D00ADE"/>
    <w:rsid w:val="00D056FB"/>
    <w:rsid w:val="00D12F44"/>
    <w:rsid w:val="00D20222"/>
    <w:rsid w:val="00D53B9B"/>
    <w:rsid w:val="00D85168"/>
    <w:rsid w:val="00D923B2"/>
    <w:rsid w:val="00D97C83"/>
    <w:rsid w:val="00DA2D18"/>
    <w:rsid w:val="00DA76F0"/>
    <w:rsid w:val="00DA7BC8"/>
    <w:rsid w:val="00DB10BE"/>
    <w:rsid w:val="00DC163D"/>
    <w:rsid w:val="00DC2AC6"/>
    <w:rsid w:val="00DC7DE8"/>
    <w:rsid w:val="00DD1B14"/>
    <w:rsid w:val="00DE510C"/>
    <w:rsid w:val="00DE65BD"/>
    <w:rsid w:val="00DF0C13"/>
    <w:rsid w:val="00E10E50"/>
    <w:rsid w:val="00E17325"/>
    <w:rsid w:val="00E353A6"/>
    <w:rsid w:val="00E56C0A"/>
    <w:rsid w:val="00E62517"/>
    <w:rsid w:val="00E97E24"/>
    <w:rsid w:val="00EA0F49"/>
    <w:rsid w:val="00EB16DF"/>
    <w:rsid w:val="00EB19DA"/>
    <w:rsid w:val="00EC09E0"/>
    <w:rsid w:val="00ED50C6"/>
    <w:rsid w:val="00ED622A"/>
    <w:rsid w:val="00EE0337"/>
    <w:rsid w:val="00EE0ABB"/>
    <w:rsid w:val="00EE602B"/>
    <w:rsid w:val="00EF7979"/>
    <w:rsid w:val="00EF7D4D"/>
    <w:rsid w:val="00F00F1C"/>
    <w:rsid w:val="00F07783"/>
    <w:rsid w:val="00F22D62"/>
    <w:rsid w:val="00F23996"/>
    <w:rsid w:val="00F32584"/>
    <w:rsid w:val="00F44D34"/>
    <w:rsid w:val="00F46392"/>
    <w:rsid w:val="00F81A17"/>
    <w:rsid w:val="00F81AF2"/>
    <w:rsid w:val="00F874E6"/>
    <w:rsid w:val="00FA2A55"/>
    <w:rsid w:val="00FC7CD5"/>
    <w:rsid w:val="00FC7F69"/>
    <w:rsid w:val="00FF1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3F963ED"/>
  <w15:chartTrackingRefBased/>
  <w15:docId w15:val="{3EA885D4-A106-4410-91AF-00CF0A8A5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Calibri"/>
      <w:sz w:val="22"/>
      <w:szCs w:val="22"/>
    </w:rPr>
  </w:style>
  <w:style w:type="paragraph" w:styleId="Heading1">
    <w:name w:val="heading 1"/>
    <w:basedOn w:val="Normal"/>
    <w:next w:val="Normal"/>
    <w:qFormat/>
    <w:pPr>
      <w:keepNext/>
      <w:keepLines/>
      <w:spacing w:after="300"/>
      <w:jc w:val="center"/>
      <w:outlineLvl w:val="0"/>
    </w:pPr>
    <w:rPr>
      <w:rFonts w:eastAsia="Times New Roman"/>
      <w:b/>
      <w:caps/>
      <w:color w:val="000000"/>
      <w:sz w:val="28"/>
      <w:szCs w:val="32"/>
    </w:rPr>
  </w:style>
  <w:style w:type="paragraph" w:styleId="Heading2">
    <w:name w:val="heading 2"/>
    <w:basedOn w:val="Normal"/>
    <w:next w:val="Normal"/>
    <w:qFormat/>
    <w:pPr>
      <w:keepNext/>
      <w:keepLines/>
      <w:jc w:val="center"/>
      <w:outlineLvl w:val="1"/>
    </w:pPr>
    <w:rPr>
      <w:rFonts w:eastAsia="Times New Roman"/>
      <w:b/>
      <w:color w:val="000000"/>
      <w:szCs w:val="26"/>
    </w:rPr>
  </w:style>
  <w:style w:type="paragraph" w:styleId="Heading3">
    <w:name w:val="heading 3"/>
    <w:basedOn w:val="Normal"/>
    <w:next w:val="Normal"/>
    <w:qFormat/>
    <w:pPr>
      <w:keepNext/>
      <w:keepLines/>
      <w:spacing w:after="300"/>
      <w:jc w:val="center"/>
      <w:outlineLvl w:val="2"/>
    </w:pPr>
    <w:rPr>
      <w:rFonts w:eastAsia="Times New Roman"/>
      <w:color w:val="000000"/>
      <w:sz w:val="18"/>
      <w:szCs w:val="24"/>
    </w:rPr>
  </w:style>
  <w:style w:type="paragraph" w:styleId="Heading4">
    <w:name w:val="heading 4"/>
    <w:basedOn w:val="Normal"/>
    <w:next w:val="Normal"/>
    <w:qFormat/>
    <w:pPr>
      <w:keepNext/>
      <w:keepLines/>
      <w:spacing w:after="300"/>
      <w:jc w:val="center"/>
      <w:outlineLvl w:val="3"/>
    </w:pPr>
    <w:rPr>
      <w:rFonts w:eastAsia="Times New Roman"/>
      <w:b/>
      <w:iCs/>
      <w:caps/>
      <w:sz w:val="24"/>
      <w:szCs w:val="20"/>
    </w:rPr>
  </w:style>
  <w:style w:type="paragraph" w:styleId="Heading5">
    <w:name w:val="heading 5"/>
    <w:basedOn w:val="Normal"/>
    <w:next w:val="Normal"/>
    <w:qFormat/>
    <w:pPr>
      <w:keepNext/>
      <w:keepLines/>
      <w:spacing w:after="300"/>
      <w:ind w:firstLine="567"/>
      <w:jc w:val="both"/>
      <w:outlineLvl w:val="4"/>
    </w:pPr>
    <w:rPr>
      <w:rFonts w:eastAsia="Times New Roman"/>
      <w:i/>
      <w:color w:val="000000"/>
      <w:sz w:val="20"/>
    </w:rPr>
  </w:style>
  <w:style w:type="paragraph" w:styleId="Heading6">
    <w:name w:val="heading 6"/>
    <w:basedOn w:val="Normal"/>
    <w:next w:val="Normal"/>
    <w:qFormat/>
    <w:pPr>
      <w:keepNext/>
      <w:keepLines/>
      <w:spacing w:after="300"/>
      <w:outlineLvl w:val="5"/>
    </w:pPr>
    <w:rPr>
      <w:rFonts w:eastAsia="font404" w:cs="font404"/>
      <w:b/>
      <w:iCs/>
      <w:caps/>
      <w:color w:val="000000"/>
      <w:sz w:val="24"/>
    </w:rPr>
  </w:style>
  <w:style w:type="paragraph" w:styleId="Heading7">
    <w:name w:val="heading 7"/>
    <w:basedOn w:val="Normal"/>
    <w:next w:val="Normal"/>
    <w:qFormat/>
    <w:pPr>
      <w:keepNext/>
      <w:keepLines/>
      <w:spacing w:before="200" w:after="0"/>
      <w:outlineLvl w:val="6"/>
    </w:pPr>
    <w:rPr>
      <w:rFonts w:ascii="Cambria" w:eastAsia="font404" w:hAnsi="Cambria" w:cs="font404"/>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Times New Roman" w:eastAsia="Times New Roman" w:hAnsi="Times New Roman" w:cs="Times New Roman"/>
      <w:b/>
      <w:caps/>
      <w:color w:val="000000"/>
      <w:sz w:val="28"/>
      <w:szCs w:val="32"/>
      <w:lang w:val="en-US"/>
    </w:rPr>
  </w:style>
  <w:style w:type="character" w:customStyle="1" w:styleId="Heading2Char">
    <w:name w:val="Heading 2 Char"/>
    <w:rPr>
      <w:rFonts w:ascii="Times New Roman" w:eastAsia="Times New Roman" w:hAnsi="Times New Roman" w:cs="Times New Roman"/>
      <w:b/>
      <w:color w:val="000000"/>
      <w:sz w:val="22"/>
      <w:szCs w:val="26"/>
    </w:rPr>
  </w:style>
  <w:style w:type="character" w:customStyle="1" w:styleId="Heading3Char">
    <w:name w:val="Heading 3 Char"/>
    <w:rPr>
      <w:rFonts w:ascii="Times New Roman" w:eastAsia="Times New Roman" w:hAnsi="Times New Roman" w:cs="Times New Roman"/>
      <w:color w:val="000000"/>
      <w:sz w:val="18"/>
      <w:szCs w:val="24"/>
      <w:lang w:val="en-US"/>
    </w:rPr>
  </w:style>
  <w:style w:type="character" w:customStyle="1" w:styleId="Heading4Char">
    <w:name w:val="Heading 4 Char"/>
    <w:rPr>
      <w:rFonts w:ascii="Times New Roman" w:eastAsia="Times New Roman" w:hAnsi="Times New Roman" w:cs="Times New Roman"/>
      <w:b/>
      <w:iCs/>
      <w:caps/>
      <w:szCs w:val="20"/>
    </w:rPr>
  </w:style>
  <w:style w:type="character" w:customStyle="1" w:styleId="Heading5Char">
    <w:name w:val="Heading 5 Char"/>
    <w:rPr>
      <w:rFonts w:ascii="Times New Roman" w:eastAsia="Times New Roman" w:hAnsi="Times New Roman" w:cs="Times New Roman"/>
      <w:i/>
      <w:color w:val="000000"/>
      <w:sz w:val="20"/>
      <w:lang w:val="en-US"/>
    </w:rPr>
  </w:style>
  <w:style w:type="character" w:customStyle="1" w:styleId="Heading6Char">
    <w:name w:val="Heading 6 Char"/>
    <w:rPr>
      <w:rFonts w:ascii="Times New Roman" w:eastAsia="font404" w:hAnsi="Times New Roman" w:cs="font404"/>
      <w:b/>
      <w:iCs/>
      <w:caps/>
      <w:color w:val="000000"/>
      <w:lang w:val="en-US"/>
    </w:rPr>
  </w:style>
  <w:style w:type="character" w:customStyle="1" w:styleId="Heading7Char">
    <w:name w:val="Heading 7 Char"/>
    <w:rPr>
      <w:rFonts w:ascii="Cambria" w:eastAsia="font404" w:hAnsi="Cambria" w:cs="font404"/>
      <w:i/>
      <w:iCs/>
      <w:color w:val="404040"/>
      <w:sz w:val="22"/>
      <w:lang w:val="en-US"/>
    </w:rPr>
  </w:style>
  <w:style w:type="character" w:customStyle="1" w:styleId="BalloonTextChar">
    <w:name w:val="Balloon Text Char"/>
    <w:rPr>
      <w:rFonts w:ascii="Tahoma" w:eastAsia="Calibri" w:hAnsi="Tahoma" w:cs="Tahoma"/>
      <w:sz w:val="16"/>
      <w:szCs w:val="16"/>
      <w:lang w:val="en-US"/>
    </w:rPr>
  </w:style>
  <w:style w:type="character" w:styleId="Hyperlink">
    <w:name w:val="Hyperlink"/>
    <w:uiPriority w:val="99"/>
    <w:rPr>
      <w:color w:val="0000FF"/>
      <w:u w:val="single"/>
    </w:rPr>
  </w:style>
  <w:style w:type="character" w:customStyle="1" w:styleId="EndNoteBibliographyChar">
    <w:name w:val="EndNote Bibliography Char"/>
    <w:rPr>
      <w:rFonts w:ascii="Calibri" w:eastAsia="Times New Roman" w:hAnsi="Calibri"/>
      <w:sz w:val="22"/>
      <w:lang w:val="en-US"/>
    </w:rPr>
  </w:style>
  <w:style w:type="character" w:customStyle="1" w:styleId="GambarChar">
    <w:name w:val="Gambar Char"/>
    <w:rPr>
      <w:rFonts w:ascii="Times New Roman" w:hAnsi="Times New Roman" w:cs="font404"/>
      <w:color w:val="000000"/>
    </w:rPr>
  </w:style>
  <w:style w:type="character" w:customStyle="1" w:styleId="TitleChar">
    <w:name w:val="Title Char"/>
    <w:rPr>
      <w:rFonts w:ascii="Times New Roman" w:eastAsia="BatangChe" w:hAnsi="Times New Roman" w:cs="Times New Roman"/>
      <w:b/>
      <w:kern w:val="2"/>
      <w:sz w:val="32"/>
      <w:szCs w:val="20"/>
      <w:lang w:val="en-US" w:eastAsia="ko-KR"/>
    </w:rPr>
  </w:style>
  <w:style w:type="character" w:styleId="Strong">
    <w:name w:val="Strong"/>
    <w:uiPriority w:val="22"/>
    <w:qFormat/>
    <w:rPr>
      <w:b/>
      <w:bCs/>
    </w:rPr>
  </w:style>
  <w:style w:type="paragraph" w:customStyle="1" w:styleId="Heading">
    <w:name w:val="Heading"/>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40" w:line="276" w:lineRule="auto"/>
    </w:pPr>
  </w:style>
  <w:style w:type="paragraph" w:styleId="List">
    <w:name w:val="List"/>
    <w:basedOn w:val="BodyText"/>
    <w:rPr>
      <w:rFonts w:cs="Mangal"/>
    </w:rPr>
  </w:style>
  <w:style w:type="paragraph" w:styleId="Caption">
    <w:name w:val="caption"/>
    <w:basedOn w:val="Normal"/>
    <w:uiPriority w:val="35"/>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styleId="BalloonText">
    <w:name w:val="Balloon Text"/>
    <w:basedOn w:val="Normal"/>
    <w:rPr>
      <w:rFonts w:ascii="Tahoma" w:hAnsi="Tahoma" w:cs="Tahoma"/>
      <w:sz w:val="16"/>
      <w:szCs w:val="16"/>
    </w:rPr>
  </w:style>
  <w:style w:type="paragraph" w:customStyle="1" w:styleId="Caption1">
    <w:name w:val="Caption1"/>
    <w:basedOn w:val="Normal"/>
    <w:next w:val="Normal"/>
    <w:rPr>
      <w:rFonts w:eastAsia="Times New Roman"/>
      <w:b/>
      <w:iCs/>
      <w:szCs w:val="18"/>
      <w:lang w:val="id-ID"/>
    </w:rPr>
  </w:style>
  <w:style w:type="paragraph" w:customStyle="1" w:styleId="EndNoteBibliography">
    <w:name w:val="EndNote Bibliography"/>
    <w:basedOn w:val="Normal"/>
    <w:pPr>
      <w:spacing w:after="160"/>
    </w:pPr>
    <w:rPr>
      <w:rFonts w:ascii="Calibri" w:eastAsia="Times New Roman" w:hAnsi="Calibri" w:cs="Calibri"/>
    </w:rPr>
  </w:style>
  <w:style w:type="paragraph" w:customStyle="1" w:styleId="Gambar">
    <w:name w:val="Gambar"/>
    <w:basedOn w:val="Normal"/>
    <w:pPr>
      <w:ind w:left="142" w:hanging="76"/>
      <w:jc w:val="center"/>
    </w:pPr>
    <w:rPr>
      <w:rFonts w:cs="font404"/>
      <w:color w:val="000000"/>
      <w:sz w:val="24"/>
      <w:lang w:val="id-ID"/>
    </w:rPr>
  </w:style>
  <w:style w:type="paragraph" w:styleId="Title">
    <w:name w:val="Title"/>
    <w:basedOn w:val="Normal"/>
    <w:autoRedefine/>
    <w:qFormat/>
    <w:pPr>
      <w:widowControl w:val="0"/>
      <w:spacing w:line="360" w:lineRule="auto"/>
      <w:jc w:val="center"/>
      <w:textAlignment w:val="baseline"/>
    </w:pPr>
    <w:rPr>
      <w:rFonts w:eastAsia="BatangChe"/>
      <w:b/>
      <w:kern w:val="2"/>
      <w:sz w:val="32"/>
      <w:szCs w:val="20"/>
      <w:lang w:eastAsia="ko-KR"/>
    </w:rPr>
  </w:style>
  <w:style w:type="paragraph" w:styleId="ListParagraph">
    <w:name w:val="List Paragraph"/>
    <w:basedOn w:val="Normal"/>
    <w:uiPriority w:val="1"/>
    <w:qFormat/>
    <w:pPr>
      <w:spacing w:after="200" w:line="276" w:lineRule="auto"/>
      <w:ind w:left="720"/>
      <w:contextualSpacing/>
    </w:pPr>
    <w:rPr>
      <w:rFonts w:ascii="Calibri" w:hAnsi="Calibri" w:cs="font404"/>
    </w:rPr>
  </w:style>
  <w:style w:type="paragraph" w:customStyle="1" w:styleId="Body">
    <w:name w:val="Body"/>
    <w:basedOn w:val="Normal"/>
    <w:pPr>
      <w:widowControl w:val="0"/>
      <w:spacing w:line="360" w:lineRule="auto"/>
      <w:ind w:firstLine="340"/>
      <w:jc w:val="both"/>
      <w:textAlignment w:val="baseline"/>
    </w:pPr>
    <w:rPr>
      <w:rFonts w:eastAsia="BatangChe"/>
      <w:sz w:val="24"/>
      <w:szCs w:val="20"/>
      <w:lang w:eastAsia="ko-KR"/>
    </w:rPr>
  </w:style>
  <w:style w:type="paragraph" w:customStyle="1" w:styleId="Bullet">
    <w:name w:val="Bullet"/>
    <w:basedOn w:val="Body"/>
    <w:pPr>
      <w:ind w:left="576" w:hanging="288"/>
    </w:pPr>
  </w:style>
  <w:style w:type="paragraph" w:customStyle="1" w:styleId="SubBullet">
    <w:name w:val="SubBullet"/>
    <w:basedOn w:val="Body"/>
    <w:pPr>
      <w:ind w:left="1145" w:hanging="283"/>
    </w:pPr>
  </w:style>
  <w:style w:type="paragraph" w:styleId="Bibliography">
    <w:name w:val="Bibliography"/>
    <w:basedOn w:val="Normal"/>
    <w:next w:val="Normal"/>
    <w:pPr>
      <w:spacing w:after="200" w:line="276" w:lineRule="auto"/>
    </w:pPr>
    <w:rPr>
      <w:rFonts w:ascii="Calibri" w:hAnsi="Calibri" w:cs="font404"/>
    </w:rPr>
  </w:style>
  <w:style w:type="paragraph" w:styleId="NormalWeb">
    <w:name w:val="Normal (Web)"/>
    <w:basedOn w:val="Normal"/>
    <w:uiPriority w:val="99"/>
    <w:pPr>
      <w:spacing w:before="280" w:after="280"/>
    </w:pPr>
    <w:rPr>
      <w:rFonts w:eastAsia="Times New Roman"/>
      <w:sz w:val="24"/>
      <w:szCs w:val="24"/>
    </w:rPr>
  </w:style>
  <w:style w:type="paragraph" w:styleId="CommentText">
    <w:name w:val="annotation text"/>
    <w:basedOn w:val="Normal"/>
    <w:link w:val="CommentTextChar"/>
    <w:uiPriority w:val="99"/>
    <w:unhideWhenUsed/>
    <w:rsid w:val="009073BB"/>
    <w:pPr>
      <w:widowControl w:val="0"/>
      <w:autoSpaceDE w:val="0"/>
      <w:autoSpaceDN w:val="0"/>
      <w:spacing w:after="0"/>
    </w:pPr>
    <w:rPr>
      <w:rFonts w:eastAsia="Times New Roman"/>
      <w:sz w:val="20"/>
      <w:szCs w:val="20"/>
    </w:rPr>
  </w:style>
  <w:style w:type="character" w:customStyle="1" w:styleId="CommentTextChar">
    <w:name w:val="Comment Text Char"/>
    <w:basedOn w:val="DefaultParagraphFont"/>
    <w:link w:val="CommentText"/>
    <w:uiPriority w:val="99"/>
    <w:rsid w:val="009073BB"/>
  </w:style>
  <w:style w:type="paragraph" w:styleId="Header">
    <w:name w:val="header"/>
    <w:basedOn w:val="Normal"/>
    <w:link w:val="HeaderChar"/>
    <w:uiPriority w:val="99"/>
    <w:unhideWhenUsed/>
    <w:rsid w:val="00E353A6"/>
    <w:pPr>
      <w:tabs>
        <w:tab w:val="center" w:pos="4680"/>
        <w:tab w:val="right" w:pos="9360"/>
      </w:tabs>
      <w:spacing w:after="0"/>
    </w:pPr>
  </w:style>
  <w:style w:type="character" w:customStyle="1" w:styleId="HeaderChar">
    <w:name w:val="Header Char"/>
    <w:basedOn w:val="DefaultParagraphFont"/>
    <w:link w:val="Header"/>
    <w:uiPriority w:val="99"/>
    <w:rsid w:val="00E353A6"/>
    <w:rPr>
      <w:rFonts w:eastAsia="Calibri"/>
      <w:sz w:val="22"/>
      <w:szCs w:val="22"/>
    </w:rPr>
  </w:style>
  <w:style w:type="paragraph" w:styleId="Footer">
    <w:name w:val="footer"/>
    <w:basedOn w:val="Normal"/>
    <w:link w:val="FooterChar"/>
    <w:uiPriority w:val="99"/>
    <w:unhideWhenUsed/>
    <w:rsid w:val="00E353A6"/>
    <w:pPr>
      <w:tabs>
        <w:tab w:val="center" w:pos="4680"/>
        <w:tab w:val="right" w:pos="9360"/>
      </w:tabs>
      <w:spacing w:after="0"/>
    </w:pPr>
  </w:style>
  <w:style w:type="character" w:customStyle="1" w:styleId="FooterChar">
    <w:name w:val="Footer Char"/>
    <w:basedOn w:val="DefaultParagraphFont"/>
    <w:link w:val="Footer"/>
    <w:uiPriority w:val="99"/>
    <w:rsid w:val="00E353A6"/>
    <w:rPr>
      <w:rFonts w:eastAsia="Calibri"/>
      <w:sz w:val="22"/>
      <w:szCs w:val="22"/>
    </w:rPr>
  </w:style>
  <w:style w:type="character" w:styleId="FollowedHyperlink">
    <w:name w:val="FollowedHyperlink"/>
    <w:basedOn w:val="DefaultParagraphFont"/>
    <w:uiPriority w:val="99"/>
    <w:semiHidden/>
    <w:unhideWhenUsed/>
    <w:rsid w:val="00065E51"/>
    <w:rPr>
      <w:color w:val="954F72" w:themeColor="followedHyperlink"/>
      <w:u w:val="single"/>
    </w:rPr>
  </w:style>
  <w:style w:type="table" w:styleId="TableGrid">
    <w:name w:val="Table Grid"/>
    <w:basedOn w:val="TableNormal"/>
    <w:uiPriority w:val="59"/>
    <w:qFormat/>
    <w:rsid w:val="00F22D62"/>
    <w:pPr>
      <w:spacing w:after="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97C83"/>
    <w:rPr>
      <w:color w:val="605E5C"/>
      <w:shd w:val="clear" w:color="auto" w:fill="E1DFDD"/>
    </w:rPr>
  </w:style>
  <w:style w:type="character" w:customStyle="1" w:styleId="mord">
    <w:name w:val="mord"/>
    <w:basedOn w:val="DefaultParagraphFont"/>
    <w:rsid w:val="00881EDF"/>
  </w:style>
  <w:style w:type="character" w:customStyle="1" w:styleId="vlist-s">
    <w:name w:val="vlist-s"/>
    <w:basedOn w:val="DefaultParagraphFont"/>
    <w:rsid w:val="00881EDF"/>
  </w:style>
  <w:style w:type="character" w:customStyle="1" w:styleId="katex-mathml">
    <w:name w:val="katex-mathml"/>
    <w:basedOn w:val="DefaultParagraphFont"/>
    <w:rsid w:val="00881EDF"/>
  </w:style>
  <w:style w:type="character" w:styleId="Emphasis">
    <w:name w:val="Emphasis"/>
    <w:basedOn w:val="DefaultParagraphFont"/>
    <w:uiPriority w:val="20"/>
    <w:qFormat/>
    <w:rsid w:val="002D3A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45669">
      <w:bodyDiv w:val="1"/>
      <w:marLeft w:val="0"/>
      <w:marRight w:val="0"/>
      <w:marTop w:val="0"/>
      <w:marBottom w:val="0"/>
      <w:divBdr>
        <w:top w:val="none" w:sz="0" w:space="0" w:color="auto"/>
        <w:left w:val="none" w:sz="0" w:space="0" w:color="auto"/>
        <w:bottom w:val="none" w:sz="0" w:space="0" w:color="auto"/>
        <w:right w:val="none" w:sz="0" w:space="0" w:color="auto"/>
      </w:divBdr>
    </w:div>
    <w:div w:id="283271310">
      <w:bodyDiv w:val="1"/>
      <w:marLeft w:val="0"/>
      <w:marRight w:val="0"/>
      <w:marTop w:val="0"/>
      <w:marBottom w:val="0"/>
      <w:divBdr>
        <w:top w:val="none" w:sz="0" w:space="0" w:color="auto"/>
        <w:left w:val="none" w:sz="0" w:space="0" w:color="auto"/>
        <w:bottom w:val="none" w:sz="0" w:space="0" w:color="auto"/>
        <w:right w:val="none" w:sz="0" w:space="0" w:color="auto"/>
      </w:divBdr>
    </w:div>
    <w:div w:id="399719433">
      <w:bodyDiv w:val="1"/>
      <w:marLeft w:val="0"/>
      <w:marRight w:val="0"/>
      <w:marTop w:val="0"/>
      <w:marBottom w:val="0"/>
      <w:divBdr>
        <w:top w:val="none" w:sz="0" w:space="0" w:color="auto"/>
        <w:left w:val="none" w:sz="0" w:space="0" w:color="auto"/>
        <w:bottom w:val="none" w:sz="0" w:space="0" w:color="auto"/>
        <w:right w:val="none" w:sz="0" w:space="0" w:color="auto"/>
      </w:divBdr>
    </w:div>
    <w:div w:id="570848901">
      <w:bodyDiv w:val="1"/>
      <w:marLeft w:val="0"/>
      <w:marRight w:val="0"/>
      <w:marTop w:val="0"/>
      <w:marBottom w:val="0"/>
      <w:divBdr>
        <w:top w:val="none" w:sz="0" w:space="0" w:color="auto"/>
        <w:left w:val="none" w:sz="0" w:space="0" w:color="auto"/>
        <w:bottom w:val="none" w:sz="0" w:space="0" w:color="auto"/>
        <w:right w:val="none" w:sz="0" w:space="0" w:color="auto"/>
      </w:divBdr>
    </w:div>
    <w:div w:id="647051224">
      <w:bodyDiv w:val="1"/>
      <w:marLeft w:val="0"/>
      <w:marRight w:val="0"/>
      <w:marTop w:val="0"/>
      <w:marBottom w:val="0"/>
      <w:divBdr>
        <w:top w:val="none" w:sz="0" w:space="0" w:color="auto"/>
        <w:left w:val="none" w:sz="0" w:space="0" w:color="auto"/>
        <w:bottom w:val="none" w:sz="0" w:space="0" w:color="auto"/>
        <w:right w:val="none" w:sz="0" w:space="0" w:color="auto"/>
      </w:divBdr>
    </w:div>
    <w:div w:id="750857997">
      <w:bodyDiv w:val="1"/>
      <w:marLeft w:val="0"/>
      <w:marRight w:val="0"/>
      <w:marTop w:val="0"/>
      <w:marBottom w:val="0"/>
      <w:divBdr>
        <w:top w:val="none" w:sz="0" w:space="0" w:color="auto"/>
        <w:left w:val="none" w:sz="0" w:space="0" w:color="auto"/>
        <w:bottom w:val="none" w:sz="0" w:space="0" w:color="auto"/>
        <w:right w:val="none" w:sz="0" w:space="0" w:color="auto"/>
      </w:divBdr>
    </w:div>
    <w:div w:id="922959224">
      <w:bodyDiv w:val="1"/>
      <w:marLeft w:val="0"/>
      <w:marRight w:val="0"/>
      <w:marTop w:val="0"/>
      <w:marBottom w:val="0"/>
      <w:divBdr>
        <w:top w:val="none" w:sz="0" w:space="0" w:color="auto"/>
        <w:left w:val="none" w:sz="0" w:space="0" w:color="auto"/>
        <w:bottom w:val="none" w:sz="0" w:space="0" w:color="auto"/>
        <w:right w:val="none" w:sz="0" w:space="0" w:color="auto"/>
      </w:divBdr>
    </w:div>
    <w:div w:id="1130244022">
      <w:bodyDiv w:val="1"/>
      <w:marLeft w:val="0"/>
      <w:marRight w:val="0"/>
      <w:marTop w:val="0"/>
      <w:marBottom w:val="0"/>
      <w:divBdr>
        <w:top w:val="none" w:sz="0" w:space="0" w:color="auto"/>
        <w:left w:val="none" w:sz="0" w:space="0" w:color="auto"/>
        <w:bottom w:val="none" w:sz="0" w:space="0" w:color="auto"/>
        <w:right w:val="none" w:sz="0" w:space="0" w:color="auto"/>
      </w:divBdr>
    </w:div>
    <w:div w:id="1282834344">
      <w:bodyDiv w:val="1"/>
      <w:marLeft w:val="0"/>
      <w:marRight w:val="0"/>
      <w:marTop w:val="0"/>
      <w:marBottom w:val="0"/>
      <w:divBdr>
        <w:top w:val="none" w:sz="0" w:space="0" w:color="auto"/>
        <w:left w:val="none" w:sz="0" w:space="0" w:color="auto"/>
        <w:bottom w:val="none" w:sz="0" w:space="0" w:color="auto"/>
        <w:right w:val="none" w:sz="0" w:space="0" w:color="auto"/>
      </w:divBdr>
    </w:div>
    <w:div w:id="1728138732">
      <w:bodyDiv w:val="1"/>
      <w:marLeft w:val="0"/>
      <w:marRight w:val="0"/>
      <w:marTop w:val="0"/>
      <w:marBottom w:val="0"/>
      <w:divBdr>
        <w:top w:val="none" w:sz="0" w:space="0" w:color="auto"/>
        <w:left w:val="none" w:sz="0" w:space="0" w:color="auto"/>
        <w:bottom w:val="none" w:sz="0" w:space="0" w:color="auto"/>
        <w:right w:val="none" w:sz="0" w:space="0" w:color="auto"/>
      </w:divBdr>
    </w:div>
    <w:div w:id="1849249953">
      <w:bodyDiv w:val="1"/>
      <w:marLeft w:val="0"/>
      <w:marRight w:val="0"/>
      <w:marTop w:val="0"/>
      <w:marBottom w:val="0"/>
      <w:divBdr>
        <w:top w:val="none" w:sz="0" w:space="0" w:color="auto"/>
        <w:left w:val="none" w:sz="0" w:space="0" w:color="auto"/>
        <w:bottom w:val="none" w:sz="0" w:space="0" w:color="auto"/>
        <w:right w:val="none" w:sz="0" w:space="0" w:color="auto"/>
      </w:divBdr>
    </w:div>
    <w:div w:id="1919244462">
      <w:bodyDiv w:val="1"/>
      <w:marLeft w:val="0"/>
      <w:marRight w:val="0"/>
      <w:marTop w:val="0"/>
      <w:marBottom w:val="0"/>
      <w:divBdr>
        <w:top w:val="none" w:sz="0" w:space="0" w:color="auto"/>
        <w:left w:val="none" w:sz="0" w:space="0" w:color="auto"/>
        <w:bottom w:val="none" w:sz="0" w:space="0" w:color="auto"/>
        <w:right w:val="none" w:sz="0" w:space="0" w:color="auto"/>
      </w:divBdr>
    </w:div>
    <w:div w:id="1930692954">
      <w:bodyDiv w:val="1"/>
      <w:marLeft w:val="0"/>
      <w:marRight w:val="0"/>
      <w:marTop w:val="0"/>
      <w:marBottom w:val="0"/>
      <w:divBdr>
        <w:top w:val="none" w:sz="0" w:space="0" w:color="auto"/>
        <w:left w:val="none" w:sz="0" w:space="0" w:color="auto"/>
        <w:bottom w:val="none" w:sz="0" w:space="0" w:color="auto"/>
        <w:right w:val="none" w:sz="0" w:space="0" w:color="auto"/>
      </w:divBdr>
    </w:div>
    <w:div w:id="1974283873">
      <w:bodyDiv w:val="1"/>
      <w:marLeft w:val="0"/>
      <w:marRight w:val="0"/>
      <w:marTop w:val="0"/>
      <w:marBottom w:val="0"/>
      <w:divBdr>
        <w:top w:val="none" w:sz="0" w:space="0" w:color="auto"/>
        <w:left w:val="none" w:sz="0" w:space="0" w:color="auto"/>
        <w:bottom w:val="none" w:sz="0" w:space="0" w:color="auto"/>
        <w:right w:val="none" w:sz="0" w:space="0" w:color="auto"/>
      </w:divBdr>
    </w:div>
    <w:div w:id="202277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lvionyfutrinelsa@apps.ipb.ac.id" TargetMode="External"/><Relationship Id="rId13" Type="http://schemas.openxmlformats.org/officeDocument/2006/relationships/hyperlink" Target="https://doi.org/10.29244/jai.2020.8.2.152-163" TargetMode="External"/><Relationship Id="rId18" Type="http://schemas.openxmlformats.org/officeDocument/2006/relationships/hyperlink" Target="https://www.trademap.org/Country_SelProduct_TS.aspx?nvpm=1%7c%7c%7c%7c%7c080280%7c%7c%7c6%7c1%7c1%7c2%7c2%7c1%7c2%7c1%7c1%7c1"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i.org/10.29244/jai.2023.11.1.17-25" TargetMode="External"/><Relationship Id="rId7" Type="http://schemas.openxmlformats.org/officeDocument/2006/relationships/endnotes" Target="endnotes.xml"/><Relationship Id="rId12" Type="http://schemas.openxmlformats.org/officeDocument/2006/relationships/hyperlink" Target="https://www.antaranews.com/berita/3707733/mendag-siap-perjuangkan-solusi-bea-masuk-pinang-yang-tinggi-ke-india" TargetMode="External"/><Relationship Id="rId17" Type="http://schemas.openxmlformats.org/officeDocument/2006/relationships/hyperlink" Target="https://doi.org/10.21776/ub.jepa.2022.006.03.14" TargetMode="External"/><Relationship Id="rId25" Type="http://schemas.openxmlformats.org/officeDocument/2006/relationships/hyperlink" Target="https://doi.org/10.1111/j.1475-4991.2010.00385.x" TargetMode="External"/><Relationship Id="rId2" Type="http://schemas.openxmlformats.org/officeDocument/2006/relationships/numbering" Target="numbering.xml"/><Relationship Id="rId16" Type="http://schemas.openxmlformats.org/officeDocument/2006/relationships/hyperlink" Target="https://doi.org/10.1111/twec.12122" TargetMode="External"/><Relationship Id="rId20" Type="http://schemas.openxmlformats.org/officeDocument/2006/relationships/hyperlink" Target="https://doi.org/10.4324/978131512789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taranews.com/video/3650424/harga-pinang-jambi-turun-dprd-carikan-solusi-bersama-konjen-india" TargetMode="External"/><Relationship Id="rId24" Type="http://schemas.openxmlformats.org/officeDocument/2006/relationships/hyperlink" Target="https://doi.org/10.29244/jekp.5.2.2016.68-86" TargetMode="External"/><Relationship Id="rId5" Type="http://schemas.openxmlformats.org/officeDocument/2006/relationships/webSettings" Target="webSettings.xml"/><Relationship Id="rId15" Type="http://schemas.openxmlformats.org/officeDocument/2006/relationships/hyperlink" Target="https://doi.org/10.1234/jits.v18i1.4502" TargetMode="External"/><Relationship Id="rId23" Type="http://schemas.openxmlformats.org/officeDocument/2006/relationships/hyperlink" Target="https://doi.org/10.34172/jhp.2023.42" TargetMode="External"/><Relationship Id="rId10" Type="http://schemas.openxmlformats.org/officeDocument/2006/relationships/chart" Target="charts/chart2.xml"/><Relationship Id="rId19" Type="http://schemas.openxmlformats.org/officeDocument/2006/relationships/hyperlink" Target="https://doi.org/10.32530/jace.v7i2.782"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ditjenbun.pertanian.go.id/?publikasi=buku-statistik-non-unggulan-2021-2023" TargetMode="External"/><Relationship Id="rId22" Type="http://schemas.openxmlformats.org/officeDocument/2006/relationships/hyperlink" Target="https://doi.org/10.4236/jss.2024.1211050"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AGRO%20BALI\Template\Template_artikel_Agro%20Bali_Bahasa%20&amp;%20English.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Downloads\Downloads\TESIS\DATA%20PINANG\PINANG%20UPDATE%20MEI%202025.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dmin\Downloads\Downloads\TESIS\FIX%20PINANG\Copy%20of%20EKSPOR%20PINANG%20INDONESI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pattFill prst="pct90">
                <a:fgClr>
                  <a:sysClr val="windowText" lastClr="000000"/>
                </a:fgClr>
                <a:bgClr>
                  <a:schemeClr val="bg1"/>
                </a:bgClr>
              </a:pattFill>
              <a:ln>
                <a:noFill/>
              </a:ln>
              <a:effectLst/>
            </c:spPr>
            <c:extLst>
              <c:ext xmlns:c16="http://schemas.microsoft.com/office/drawing/2014/chart" uri="{C3380CC4-5D6E-409C-BE32-E72D297353CC}">
                <c16:uniqueId val="{00000001-8EA8-4574-BA11-56AEED180F01}"/>
              </c:ext>
            </c:extLst>
          </c:dPt>
          <c:dPt>
            <c:idx val="1"/>
            <c:bubble3D val="0"/>
            <c:spPr>
              <a:pattFill prst="smCheck">
                <a:fgClr>
                  <a:sysClr val="windowText" lastClr="000000"/>
                </a:fgClr>
                <a:bgClr>
                  <a:schemeClr val="bg1"/>
                </a:bgClr>
              </a:pattFill>
              <a:ln>
                <a:noFill/>
              </a:ln>
              <a:effectLst/>
            </c:spPr>
            <c:extLst>
              <c:ext xmlns:c16="http://schemas.microsoft.com/office/drawing/2014/chart" uri="{C3380CC4-5D6E-409C-BE32-E72D297353CC}">
                <c16:uniqueId val="{00000003-8EA8-4574-BA11-56AEED180F01}"/>
              </c:ext>
            </c:extLst>
          </c:dPt>
          <c:dPt>
            <c:idx val="2"/>
            <c:bubble3D val="0"/>
            <c:spPr>
              <a:pattFill prst="zigZag">
                <a:fgClr>
                  <a:sysClr val="windowText" lastClr="000000"/>
                </a:fgClr>
                <a:bgClr>
                  <a:schemeClr val="bg1"/>
                </a:bgClr>
              </a:pattFill>
              <a:ln>
                <a:noFill/>
              </a:ln>
              <a:effectLst/>
            </c:spPr>
            <c:extLst>
              <c:ext xmlns:c16="http://schemas.microsoft.com/office/drawing/2014/chart" uri="{C3380CC4-5D6E-409C-BE32-E72D297353CC}">
                <c16:uniqueId val="{00000005-8EA8-4574-BA11-56AEED180F01}"/>
              </c:ext>
            </c:extLst>
          </c:dPt>
          <c:dPt>
            <c:idx val="3"/>
            <c:bubble3D val="0"/>
            <c:spPr>
              <a:pattFill prst="lgGrid">
                <a:fgClr>
                  <a:sysClr val="windowText" lastClr="000000"/>
                </a:fgClr>
                <a:bgClr>
                  <a:schemeClr val="bg1"/>
                </a:bgClr>
              </a:pattFill>
              <a:ln>
                <a:noFill/>
              </a:ln>
              <a:effectLst/>
            </c:spPr>
            <c:extLst>
              <c:ext xmlns:c16="http://schemas.microsoft.com/office/drawing/2014/chart" uri="{C3380CC4-5D6E-409C-BE32-E72D297353CC}">
                <c16:uniqueId val="{00000007-8EA8-4574-BA11-56AEED180F01}"/>
              </c:ext>
            </c:extLst>
          </c:dPt>
          <c:dPt>
            <c:idx val="4"/>
            <c:bubble3D val="0"/>
            <c:spPr>
              <a:pattFill prst="horzBrick">
                <a:fgClr>
                  <a:sysClr val="windowText" lastClr="000000"/>
                </a:fgClr>
                <a:bgClr>
                  <a:schemeClr val="bg1"/>
                </a:bgClr>
              </a:pattFill>
              <a:ln>
                <a:noFill/>
              </a:ln>
              <a:effectLst/>
            </c:spPr>
            <c:extLst>
              <c:ext xmlns:c16="http://schemas.microsoft.com/office/drawing/2014/chart" uri="{C3380CC4-5D6E-409C-BE32-E72D297353CC}">
                <c16:uniqueId val="{00000009-8EA8-4574-BA11-56AEED180F01}"/>
              </c:ext>
            </c:extLst>
          </c:dPt>
          <c:dPt>
            <c:idx val="5"/>
            <c:bubble3D val="0"/>
            <c:spPr>
              <a:pattFill prst="ltUpDiag">
                <a:fgClr>
                  <a:sysClr val="windowText" lastClr="000000"/>
                </a:fgClr>
                <a:bgClr>
                  <a:schemeClr val="bg1"/>
                </a:bgClr>
              </a:pattFill>
              <a:ln>
                <a:noFill/>
              </a:ln>
              <a:effectLst/>
            </c:spPr>
            <c:extLst>
              <c:ext xmlns:c16="http://schemas.microsoft.com/office/drawing/2014/chart" uri="{C3380CC4-5D6E-409C-BE32-E72D297353CC}">
                <c16:uniqueId val="{0000000B-8EA8-4574-BA11-56AEED180F01}"/>
              </c:ext>
            </c:extLst>
          </c:dPt>
          <c:dPt>
            <c:idx val="6"/>
            <c:bubble3D val="0"/>
            <c:spPr>
              <a:pattFill prst="pct5">
                <a:fgClr>
                  <a:sysClr val="windowText" lastClr="000000"/>
                </a:fgClr>
                <a:bgClr>
                  <a:schemeClr val="bg1"/>
                </a:bgClr>
              </a:pattFill>
              <a:ln>
                <a:noFill/>
              </a:ln>
              <a:effectLst/>
            </c:spPr>
            <c:extLst>
              <c:ext xmlns:c16="http://schemas.microsoft.com/office/drawing/2014/chart" uri="{C3380CC4-5D6E-409C-BE32-E72D297353CC}">
                <c16:uniqueId val="{0000000D-8EA8-4574-BA11-56AEED180F01}"/>
              </c:ext>
            </c:extLst>
          </c:dPt>
          <c:dLbls>
            <c:dLbl>
              <c:idx val="0"/>
              <c:layout>
                <c:manualLayout>
                  <c:x val="8.5202393630951445E-2"/>
                  <c:y val="-0.12846395979861946"/>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8EA8-4574-BA11-56AEED180F01}"/>
                </c:ext>
              </c:extLst>
            </c:dLbl>
            <c:dLbl>
              <c:idx val="1"/>
              <c:layout>
                <c:manualLayout>
                  <c:x val="-1.1961171150723676E-2"/>
                  <c:y val="-2.5323123269385142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8EA8-4574-BA11-56AEED180F01}"/>
                </c:ext>
              </c:extLst>
            </c:dLbl>
            <c:dLbl>
              <c:idx val="2"/>
              <c:layout>
                <c:manualLayout>
                  <c:x val="-3.5504652827487472E-2"/>
                  <c:y val="7.8576724301214845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8EA8-4574-BA11-56AEED180F01}"/>
                </c:ext>
              </c:extLst>
            </c:dLbl>
            <c:dLbl>
              <c:idx val="3"/>
              <c:layout>
                <c:manualLayout>
                  <c:x val="-3.2647322145956247E-2"/>
                  <c:y val="0.11972867849350151"/>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8EA8-4574-BA11-56AEED180F01}"/>
                </c:ext>
              </c:extLst>
            </c:dLbl>
            <c:dLbl>
              <c:idx val="4"/>
              <c:layout>
                <c:manualLayout>
                  <c:x val="-7.433208604026538E-2"/>
                  <c:y val="0.1934038516269804"/>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8EA8-4574-BA11-56AEED180F01}"/>
                </c:ext>
              </c:extLst>
            </c:dLbl>
            <c:dLbl>
              <c:idx val="5"/>
              <c:layout>
                <c:manualLayout>
                  <c:x val="-0.2074548953601828"/>
                  <c:y val="8.5899652964782885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2"/>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076260875553821"/>
                      <c:h val="0.17345934920785505"/>
                    </c:manualLayout>
                  </c15:layout>
                </c:ext>
                <c:ext xmlns:c16="http://schemas.microsoft.com/office/drawing/2014/chart" uri="{C3380CC4-5D6E-409C-BE32-E72D297353CC}">
                  <c16:uniqueId val="{0000000B-8EA8-4574-BA11-56AEED180F01}"/>
                </c:ext>
              </c:extLst>
            </c:dLbl>
            <c:dLbl>
              <c:idx val="6"/>
              <c:layout>
                <c:manualLayout>
                  <c:x val="-0.12717102851057144"/>
                  <c:y val="3.0354042735253705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8EA8-4574-BA11-56AEED180F0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'VALUE EKSPOR PINANG DUNIA'!$R$24:$X$24</c:f>
              <c:strCache>
                <c:ptCount val="7"/>
                <c:pt idx="0">
                  <c:v>Indonesia</c:v>
                </c:pt>
                <c:pt idx="1">
                  <c:v>Myanmar </c:v>
                </c:pt>
                <c:pt idx="2">
                  <c:v>Thailand</c:v>
                </c:pt>
                <c:pt idx="3">
                  <c:v>Srilanka</c:v>
                </c:pt>
                <c:pt idx="4">
                  <c:v>ROW</c:v>
                </c:pt>
                <c:pt idx="5">
                  <c:v>India</c:v>
                </c:pt>
                <c:pt idx="6">
                  <c:v>Singapura</c:v>
                </c:pt>
              </c:strCache>
            </c:strRef>
          </c:cat>
          <c:val>
            <c:numRef>
              <c:f>'VALUE EKSPOR PINANG DUNIA'!$R$25:$X$25</c:f>
              <c:numCache>
                <c:formatCode>General</c:formatCode>
                <c:ptCount val="7"/>
                <c:pt idx="0">
                  <c:v>3207462</c:v>
                </c:pt>
                <c:pt idx="1">
                  <c:v>842965</c:v>
                </c:pt>
                <c:pt idx="2">
                  <c:v>720136</c:v>
                </c:pt>
                <c:pt idx="3">
                  <c:v>496096</c:v>
                </c:pt>
                <c:pt idx="4">
                  <c:v>390957</c:v>
                </c:pt>
                <c:pt idx="5">
                  <c:v>230374</c:v>
                </c:pt>
                <c:pt idx="6">
                  <c:v>225769</c:v>
                </c:pt>
              </c:numCache>
            </c:numRef>
          </c:val>
          <c:extLst>
            <c:ext xmlns:c16="http://schemas.microsoft.com/office/drawing/2014/chart" uri="{C3380CC4-5D6E-409C-BE32-E72D297353CC}">
              <c16:uniqueId val="{0000000E-8EA8-4574-BA11-56AEED180F01}"/>
            </c:ext>
          </c:extLst>
        </c:ser>
        <c:dLbls>
          <c:dLblPos val="inEnd"/>
          <c:showLegendKey val="0"/>
          <c:showVal val="0"/>
          <c:showCatName val="0"/>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'Ekspor Pinang Dunia'!$Y$45</c:f>
              <c:strCache>
                <c:ptCount val="1"/>
                <c:pt idx="0">
                  <c:v>Indonesia</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'Ekspor Pinang Dunia'!$Z$44:$AK$44</c:f>
              <c:numCache>
                <c:formatCode>General</c:formatCod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numCache>
            </c:numRef>
          </c:cat>
          <c:val>
            <c:numRef>
              <c:f>'Ekspor Pinang Dunia'!$Z$45:$AK$45</c:f>
              <c:numCache>
                <c:formatCode>General</c:formatCode>
                <c:ptCount val="12"/>
                <c:pt idx="0">
                  <c:v>125600</c:v>
                </c:pt>
                <c:pt idx="1">
                  <c:v>165840</c:v>
                </c:pt>
                <c:pt idx="2">
                  <c:v>263863</c:v>
                </c:pt>
                <c:pt idx="3">
                  <c:v>321796</c:v>
                </c:pt>
                <c:pt idx="4">
                  <c:v>277786</c:v>
                </c:pt>
                <c:pt idx="5">
                  <c:v>330273</c:v>
                </c:pt>
                <c:pt idx="6">
                  <c:v>311442</c:v>
                </c:pt>
                <c:pt idx="7">
                  <c:v>302005</c:v>
                </c:pt>
                <c:pt idx="8">
                  <c:v>256518</c:v>
                </c:pt>
                <c:pt idx="9">
                  <c:v>357304</c:v>
                </c:pt>
                <c:pt idx="10">
                  <c:v>247964</c:v>
                </c:pt>
                <c:pt idx="11">
                  <c:v>127381</c:v>
                </c:pt>
              </c:numCache>
            </c:numRef>
          </c:val>
          <c:smooth val="0"/>
          <c:extLst>
            <c:ext xmlns:c16="http://schemas.microsoft.com/office/drawing/2014/chart" uri="{C3380CC4-5D6E-409C-BE32-E72D297353CC}">
              <c16:uniqueId val="{00000000-5C46-4AF7-A503-AB5F19939ABD}"/>
            </c:ext>
          </c:extLst>
        </c:ser>
        <c:ser>
          <c:idx val="1"/>
          <c:order val="1"/>
          <c:tx>
            <c:strRef>
              <c:f>'Ekspor Pinang Dunia'!$Y$46</c:f>
              <c:strCache>
                <c:ptCount val="1"/>
                <c:pt idx="0">
                  <c:v>Sri Lanka</c:v>
                </c:pt>
              </c:strCache>
            </c:strRef>
          </c:tx>
          <c:spPr>
            <a:ln w="28575" cap="rnd">
              <a:solidFill>
                <a:schemeClr val="accent2"/>
              </a:solidFill>
              <a:round/>
            </a:ln>
            <a:effectLst/>
          </c:spPr>
          <c:marker>
            <c:symbol val="triangle"/>
            <c:size val="5"/>
            <c:spPr>
              <a:solidFill>
                <a:schemeClr val="accent2"/>
              </a:solidFill>
              <a:ln w="9525">
                <a:solidFill>
                  <a:schemeClr val="accent2"/>
                </a:solidFill>
              </a:ln>
              <a:effectLst/>
            </c:spPr>
          </c:marker>
          <c:cat>
            <c:numRef>
              <c:f>'Ekspor Pinang Dunia'!$Z$44:$AK$44</c:f>
              <c:numCache>
                <c:formatCode>General</c:formatCod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numCache>
            </c:numRef>
          </c:cat>
          <c:val>
            <c:numRef>
              <c:f>'Ekspor Pinang Dunia'!$Z$46:$AK$46</c:f>
              <c:numCache>
                <c:formatCode>General</c:formatCode>
                <c:ptCount val="12"/>
                <c:pt idx="0">
                  <c:v>0</c:v>
                </c:pt>
                <c:pt idx="1">
                  <c:v>11758</c:v>
                </c:pt>
                <c:pt idx="2">
                  <c:v>63650</c:v>
                </c:pt>
                <c:pt idx="3">
                  <c:v>67512</c:v>
                </c:pt>
                <c:pt idx="4">
                  <c:v>33972</c:v>
                </c:pt>
                <c:pt idx="5">
                  <c:v>38165</c:v>
                </c:pt>
                <c:pt idx="7">
                  <c:v>21411</c:v>
                </c:pt>
                <c:pt idx="8">
                  <c:v>49530</c:v>
                </c:pt>
                <c:pt idx="9">
                  <c:v>46638</c:v>
                </c:pt>
                <c:pt idx="10">
                  <c:v>63008</c:v>
                </c:pt>
                <c:pt idx="11">
                  <c:v>60621</c:v>
                </c:pt>
              </c:numCache>
            </c:numRef>
          </c:val>
          <c:smooth val="0"/>
          <c:extLst>
            <c:ext xmlns:c16="http://schemas.microsoft.com/office/drawing/2014/chart" uri="{C3380CC4-5D6E-409C-BE32-E72D297353CC}">
              <c16:uniqueId val="{00000001-5C46-4AF7-A503-AB5F19939ABD}"/>
            </c:ext>
          </c:extLst>
        </c:ser>
        <c:ser>
          <c:idx val="2"/>
          <c:order val="2"/>
          <c:tx>
            <c:strRef>
              <c:f>'Ekspor Pinang Dunia'!$Y$47</c:f>
              <c:strCache>
                <c:ptCount val="1"/>
                <c:pt idx="0">
                  <c:v>India</c:v>
                </c:pt>
              </c:strCache>
            </c:strRef>
          </c:tx>
          <c:spPr>
            <a:ln w="28575" cap="rnd">
              <a:solidFill>
                <a:schemeClr val="accent3"/>
              </a:solidFill>
              <a:round/>
            </a:ln>
            <a:effectLst/>
          </c:spPr>
          <c:marker>
            <c:symbol val="dot"/>
            <c:size val="5"/>
            <c:spPr>
              <a:solidFill>
                <a:schemeClr val="accent3"/>
              </a:solidFill>
              <a:ln w="9525">
                <a:solidFill>
                  <a:schemeClr val="accent3"/>
                </a:solidFill>
              </a:ln>
              <a:effectLst/>
            </c:spPr>
          </c:marker>
          <c:cat>
            <c:numRef>
              <c:f>'Ekspor Pinang Dunia'!$Z$44:$AK$44</c:f>
              <c:numCache>
                <c:formatCode>General</c:formatCod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numCache>
            </c:numRef>
          </c:cat>
          <c:val>
            <c:numRef>
              <c:f>'Ekspor Pinang Dunia'!$Z$47:$AK$47</c:f>
              <c:numCache>
                <c:formatCode>General</c:formatCode>
                <c:ptCount val="12"/>
                <c:pt idx="0">
                  <c:v>0</c:v>
                </c:pt>
                <c:pt idx="1">
                  <c:v>5005</c:v>
                </c:pt>
                <c:pt idx="2">
                  <c:v>8090</c:v>
                </c:pt>
                <c:pt idx="3">
                  <c:v>11296</c:v>
                </c:pt>
                <c:pt idx="4">
                  <c:v>22410</c:v>
                </c:pt>
                <c:pt idx="5">
                  <c:v>10401</c:v>
                </c:pt>
                <c:pt idx="6">
                  <c:v>8848</c:v>
                </c:pt>
                <c:pt idx="7">
                  <c:v>9006</c:v>
                </c:pt>
                <c:pt idx="8">
                  <c:v>10310</c:v>
                </c:pt>
                <c:pt idx="9">
                  <c:v>18858</c:v>
                </c:pt>
                <c:pt idx="10">
                  <c:v>51101</c:v>
                </c:pt>
                <c:pt idx="11">
                  <c:v>58364</c:v>
                </c:pt>
              </c:numCache>
            </c:numRef>
          </c:val>
          <c:smooth val="0"/>
          <c:extLst>
            <c:ext xmlns:c16="http://schemas.microsoft.com/office/drawing/2014/chart" uri="{C3380CC4-5D6E-409C-BE32-E72D297353CC}">
              <c16:uniqueId val="{00000002-5C46-4AF7-A503-AB5F19939ABD}"/>
            </c:ext>
          </c:extLst>
        </c:ser>
        <c:ser>
          <c:idx val="3"/>
          <c:order val="3"/>
          <c:tx>
            <c:strRef>
              <c:f>'Ekspor Pinang Dunia'!$Y$48</c:f>
              <c:strCache>
                <c:ptCount val="1"/>
                <c:pt idx="0">
                  <c:v>Thailand</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'Ekspor Pinang Dunia'!$Z$44:$AK$44</c:f>
              <c:numCache>
                <c:formatCode>General</c:formatCod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numCache>
            </c:numRef>
          </c:cat>
          <c:val>
            <c:numRef>
              <c:f>'Ekspor Pinang Dunia'!$Z$48:$AK$48</c:f>
              <c:numCache>
                <c:formatCode>General</c:formatCode>
                <c:ptCount val="12"/>
                <c:pt idx="0">
                  <c:v>37371</c:v>
                </c:pt>
                <c:pt idx="1">
                  <c:v>23573</c:v>
                </c:pt>
                <c:pt idx="2">
                  <c:v>24536</c:v>
                </c:pt>
                <c:pt idx="3">
                  <c:v>30050</c:v>
                </c:pt>
                <c:pt idx="4">
                  <c:v>35498</c:v>
                </c:pt>
                <c:pt idx="5">
                  <c:v>34745</c:v>
                </c:pt>
                <c:pt idx="6">
                  <c:v>67895</c:v>
                </c:pt>
                <c:pt idx="7">
                  <c:v>66843</c:v>
                </c:pt>
                <c:pt idx="8">
                  <c:v>74069</c:v>
                </c:pt>
                <c:pt idx="9">
                  <c:v>163878</c:v>
                </c:pt>
                <c:pt idx="10">
                  <c:v>73034</c:v>
                </c:pt>
                <c:pt idx="11">
                  <c:v>29564</c:v>
                </c:pt>
              </c:numCache>
            </c:numRef>
          </c:val>
          <c:smooth val="0"/>
          <c:extLst>
            <c:ext xmlns:c16="http://schemas.microsoft.com/office/drawing/2014/chart" uri="{C3380CC4-5D6E-409C-BE32-E72D297353CC}">
              <c16:uniqueId val="{00000003-5C46-4AF7-A503-AB5F19939ABD}"/>
            </c:ext>
          </c:extLst>
        </c:ser>
        <c:ser>
          <c:idx val="4"/>
          <c:order val="4"/>
          <c:tx>
            <c:strRef>
              <c:f>'Ekspor Pinang Dunia'!$Y$49</c:f>
              <c:strCache>
                <c:ptCount val="1"/>
                <c:pt idx="0">
                  <c:v>Myanmar</c:v>
                </c:pt>
              </c:strCache>
            </c:strRef>
          </c:tx>
          <c:spPr>
            <a:ln w="28575" cap="rnd">
              <a:solidFill>
                <a:schemeClr val="accent5"/>
              </a:solidFill>
              <a:round/>
            </a:ln>
            <a:effectLst/>
          </c:spPr>
          <c:marker>
            <c:symbol val="diamond"/>
            <c:size val="5"/>
            <c:spPr>
              <a:solidFill>
                <a:schemeClr val="accent5"/>
              </a:solidFill>
              <a:ln w="9525">
                <a:solidFill>
                  <a:schemeClr val="accent5"/>
                </a:solidFill>
              </a:ln>
              <a:effectLst/>
            </c:spPr>
          </c:marker>
          <c:cat>
            <c:numRef>
              <c:f>'Ekspor Pinang Dunia'!$Z$44:$AK$44</c:f>
              <c:numCache>
                <c:formatCode>General</c:formatCod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numCache>
            </c:numRef>
          </c:cat>
          <c:val>
            <c:numRef>
              <c:f>'Ekspor Pinang Dunia'!$Z$49:$AK$49</c:f>
              <c:numCache>
                <c:formatCode>General</c:formatCode>
                <c:ptCount val="12"/>
                <c:pt idx="0">
                  <c:v>3823</c:v>
                </c:pt>
                <c:pt idx="1">
                  <c:v>8365</c:v>
                </c:pt>
                <c:pt idx="2">
                  <c:v>29024</c:v>
                </c:pt>
                <c:pt idx="3">
                  <c:v>38704</c:v>
                </c:pt>
                <c:pt idx="4">
                  <c:v>50097</c:v>
                </c:pt>
                <c:pt idx="5">
                  <c:v>32996</c:v>
                </c:pt>
                <c:pt idx="6">
                  <c:v>129726</c:v>
                </c:pt>
                <c:pt idx="7">
                  <c:v>113625</c:v>
                </c:pt>
                <c:pt idx="8">
                  <c:v>111681</c:v>
                </c:pt>
                <c:pt idx="9">
                  <c:v>139403</c:v>
                </c:pt>
                <c:pt idx="10">
                  <c:v>109382</c:v>
                </c:pt>
                <c:pt idx="11">
                  <c:v>22922</c:v>
                </c:pt>
              </c:numCache>
            </c:numRef>
          </c:val>
          <c:smooth val="0"/>
          <c:extLst>
            <c:ext xmlns:c16="http://schemas.microsoft.com/office/drawing/2014/chart" uri="{C3380CC4-5D6E-409C-BE32-E72D297353CC}">
              <c16:uniqueId val="{00000004-5C46-4AF7-A503-AB5F19939ABD}"/>
            </c:ext>
          </c:extLst>
        </c:ser>
        <c:ser>
          <c:idx val="5"/>
          <c:order val="5"/>
          <c:tx>
            <c:strRef>
              <c:f>'Ekspor Pinang Dunia'!$Y$50</c:f>
              <c:strCache>
                <c:ptCount val="1"/>
                <c:pt idx="0">
                  <c:v>Singapore</c:v>
                </c:pt>
              </c:strCache>
            </c:strRef>
          </c:tx>
          <c:spPr>
            <a:ln w="28575" cap="rnd">
              <a:solidFill>
                <a:schemeClr val="accent6"/>
              </a:solidFill>
              <a:round/>
            </a:ln>
            <a:effectLst/>
          </c:spPr>
          <c:marker>
            <c:symbol val="diamond"/>
            <c:size val="5"/>
            <c:spPr>
              <a:solidFill>
                <a:schemeClr val="accent6"/>
              </a:solidFill>
              <a:ln w="9525">
                <a:solidFill>
                  <a:schemeClr val="accent6"/>
                </a:solidFill>
              </a:ln>
              <a:effectLst/>
            </c:spPr>
          </c:marker>
          <c:cat>
            <c:numRef>
              <c:f>'Ekspor Pinang Dunia'!$Z$44:$AK$44</c:f>
              <c:numCache>
                <c:formatCode>General</c:formatCod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numCache>
            </c:numRef>
          </c:cat>
          <c:val>
            <c:numRef>
              <c:f>'Ekspor Pinang Dunia'!$Z$50:$AK$50</c:f>
              <c:numCache>
                <c:formatCode>General</c:formatCode>
                <c:ptCount val="12"/>
                <c:pt idx="0">
                  <c:v>27193</c:v>
                </c:pt>
                <c:pt idx="1">
                  <c:v>19003</c:v>
                </c:pt>
                <c:pt idx="2">
                  <c:v>18931</c:v>
                </c:pt>
                <c:pt idx="3">
                  <c:v>17448</c:v>
                </c:pt>
                <c:pt idx="4">
                  <c:v>12862</c:v>
                </c:pt>
                <c:pt idx="5">
                  <c:v>13186</c:v>
                </c:pt>
                <c:pt idx="6">
                  <c:v>12344</c:v>
                </c:pt>
                <c:pt idx="7">
                  <c:v>23252</c:v>
                </c:pt>
                <c:pt idx="8">
                  <c:v>30415</c:v>
                </c:pt>
                <c:pt idx="9">
                  <c:v>28463</c:v>
                </c:pt>
                <c:pt idx="10">
                  <c:v>12212</c:v>
                </c:pt>
                <c:pt idx="11">
                  <c:v>8243</c:v>
                </c:pt>
              </c:numCache>
            </c:numRef>
          </c:val>
          <c:smooth val="0"/>
          <c:extLst>
            <c:ext xmlns:c16="http://schemas.microsoft.com/office/drawing/2014/chart" uri="{C3380CC4-5D6E-409C-BE32-E72D297353CC}">
              <c16:uniqueId val="{00000005-5C46-4AF7-A503-AB5F19939ABD}"/>
            </c:ext>
          </c:extLst>
        </c:ser>
        <c:ser>
          <c:idx val="6"/>
          <c:order val="6"/>
          <c:tx>
            <c:strRef>
              <c:f>'Ekspor Pinang Dunia'!$Y$51</c:f>
              <c:strCache>
                <c:ptCount val="1"/>
                <c:pt idx="0">
                  <c:v>Internasional</c:v>
                </c:pt>
              </c:strCache>
            </c:strRef>
          </c:tx>
          <c:spPr>
            <a:ln w="28575" cap="rnd">
              <a:solidFill>
                <a:schemeClr val="accent1">
                  <a:lumMod val="60000"/>
                </a:schemeClr>
              </a:solidFill>
              <a:round/>
            </a:ln>
            <a:effectLst/>
          </c:spPr>
          <c:marker>
            <c:symbol val="square"/>
            <c:size val="5"/>
            <c:spPr>
              <a:solidFill>
                <a:schemeClr val="accent1">
                  <a:lumMod val="60000"/>
                </a:schemeClr>
              </a:solidFill>
              <a:ln w="9525">
                <a:solidFill>
                  <a:schemeClr val="accent1">
                    <a:lumMod val="60000"/>
                  </a:schemeClr>
                </a:solidFill>
              </a:ln>
              <a:effectLst/>
            </c:spPr>
          </c:marker>
          <c:cat>
            <c:numRef>
              <c:f>'Ekspor Pinang Dunia'!$Z$44:$AK$44</c:f>
              <c:numCache>
                <c:formatCode>General</c:formatCod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numCache>
            </c:numRef>
          </c:cat>
          <c:val>
            <c:numRef>
              <c:f>'Ekspor Pinang Dunia'!$Z$51:$AK$51</c:f>
              <c:numCache>
                <c:formatCode>General</c:formatCode>
                <c:ptCount val="12"/>
                <c:pt idx="0">
                  <c:v>195534</c:v>
                </c:pt>
                <c:pt idx="1">
                  <c:v>242702</c:v>
                </c:pt>
                <c:pt idx="2">
                  <c:v>422917</c:v>
                </c:pt>
                <c:pt idx="3">
                  <c:v>501463</c:v>
                </c:pt>
                <c:pt idx="4">
                  <c:v>446816</c:v>
                </c:pt>
                <c:pt idx="5">
                  <c:v>483880</c:v>
                </c:pt>
                <c:pt idx="6">
                  <c:v>595793</c:v>
                </c:pt>
                <c:pt idx="7">
                  <c:v>563742</c:v>
                </c:pt>
                <c:pt idx="8">
                  <c:v>545774</c:v>
                </c:pt>
                <c:pt idx="9">
                  <c:v>770503</c:v>
                </c:pt>
                <c:pt idx="10">
                  <c:v>601066</c:v>
                </c:pt>
                <c:pt idx="11">
                  <c:v>353419</c:v>
                </c:pt>
              </c:numCache>
            </c:numRef>
          </c:val>
          <c:smooth val="0"/>
          <c:extLst>
            <c:ext xmlns:c16="http://schemas.microsoft.com/office/drawing/2014/chart" uri="{C3380CC4-5D6E-409C-BE32-E72D297353CC}">
              <c16:uniqueId val="{00000006-5C46-4AF7-A503-AB5F19939ABD}"/>
            </c:ext>
          </c:extLst>
        </c:ser>
        <c:dLbls>
          <c:showLegendKey val="0"/>
          <c:showVal val="0"/>
          <c:showCatName val="0"/>
          <c:showSerName val="0"/>
          <c:showPercent val="0"/>
          <c:showBubbleSize val="0"/>
        </c:dLbls>
        <c:marker val="1"/>
        <c:smooth val="0"/>
        <c:axId val="1868871680"/>
        <c:axId val="1868861888"/>
      </c:lineChart>
      <c:catAx>
        <c:axId val="18688716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8861888"/>
        <c:crosses val="autoZero"/>
        <c:auto val="1"/>
        <c:lblAlgn val="ctr"/>
        <c:lblOffset val="100"/>
        <c:noMultiLvlLbl val="0"/>
      </c:catAx>
      <c:valAx>
        <c:axId val="18688618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Value</a:t>
                </a:r>
                <a:r>
                  <a:rPr lang="en-US" sz="1200" baseline="0">
                    <a:latin typeface="Times New Roman" panose="02020603050405020304" pitchFamily="18" charset="0"/>
                    <a:cs typeface="Times New Roman" panose="02020603050405020304" pitchFamily="18" charset="0"/>
                  </a:rPr>
                  <a:t> Expor</a:t>
                </a:r>
                <a:r>
                  <a:rPr lang="en-US" sz="1200">
                    <a:latin typeface="Times New Roman" panose="02020603050405020304" pitchFamily="18" charset="0"/>
                    <a:cs typeface="Times New Roman" panose="02020603050405020304" pitchFamily="18" charset="0"/>
                  </a:rPr>
                  <a:t> (000 USD</a:t>
                </a: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8871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F9846-1F88-46A9-8247-B67D29DF0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Template_artikel_Agro Bali_Bahasa &amp; English</Template>
  <TotalTime>500</TotalTime>
  <Pages>11</Pages>
  <Words>5314</Words>
  <Characters>30290</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35533</CharactersWithSpaces>
  <SharedDoc>false</SharedDoc>
  <HLinks>
    <vt:vector size="24" baseType="variant">
      <vt:variant>
        <vt:i4>3080319</vt:i4>
      </vt:variant>
      <vt:variant>
        <vt:i4>15</vt:i4>
      </vt:variant>
      <vt:variant>
        <vt:i4>0</vt:i4>
      </vt:variant>
      <vt:variant>
        <vt:i4>5</vt:i4>
      </vt:variant>
      <vt:variant>
        <vt:lpwstr>https://www.mendeley.com/guides/apa-citation-guide</vt:lpwstr>
      </vt:variant>
      <vt:variant>
        <vt:lpwstr/>
      </vt:variant>
      <vt:variant>
        <vt:i4>2949182</vt:i4>
      </vt:variant>
      <vt:variant>
        <vt:i4>9</vt:i4>
      </vt:variant>
      <vt:variant>
        <vt:i4>0</vt:i4>
      </vt:variant>
      <vt:variant>
        <vt:i4>5</vt:i4>
      </vt:variant>
      <vt:variant>
        <vt:lpwstr>http://www.ent.iastate.edu/entsoc/ncb99/prog/abs/D81.html.%20%5B21</vt:lpwstr>
      </vt:variant>
      <vt:variant>
        <vt:lpwstr/>
      </vt:variant>
      <vt:variant>
        <vt:i4>4325444</vt:i4>
      </vt:variant>
      <vt:variant>
        <vt:i4>6</vt:i4>
      </vt:variant>
      <vt:variant>
        <vt:i4>0</vt:i4>
      </vt:variant>
      <vt:variant>
        <vt:i4>5</vt:i4>
      </vt:variant>
      <vt:variant>
        <vt:lpwstr>http://www.asianjab.com/</vt:lpwstr>
      </vt:variant>
      <vt:variant>
        <vt:lpwstr/>
      </vt:variant>
      <vt:variant>
        <vt:i4>7340063</vt:i4>
      </vt:variant>
      <vt:variant>
        <vt:i4>0</vt:i4>
      </vt:variant>
      <vt:variant>
        <vt:i4>0</vt:i4>
      </vt:variant>
      <vt:variant>
        <vt:i4>5</vt:i4>
      </vt:variant>
      <vt:variant>
        <vt:lpwstr>mailto:budi@ups.ac.id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cp:lastModifiedBy>Silviony Futrinelsa</cp:lastModifiedBy>
  <cp:revision>12</cp:revision>
  <cp:lastPrinted>2023-12-21T05:05:00Z</cp:lastPrinted>
  <dcterms:created xsi:type="dcterms:W3CDTF">2025-07-01T10:07:00Z</dcterms:created>
  <dcterms:modified xsi:type="dcterms:W3CDTF">2025-07-14T07:36:00Z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Toshiba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endeley Recent Style Id 0_1">
    <vt:lpwstr>http://www.zotero.org/styles/american-medical-association</vt:lpwstr>
  </property>
  <property fmtid="{D5CDD505-2E9C-101B-9397-08002B2CF9AE}" pid="10" name="Mendeley Recent Style Name 0_1">
    <vt:lpwstr>American Medical Association</vt:lpwstr>
  </property>
  <property fmtid="{D5CDD505-2E9C-101B-9397-08002B2CF9AE}" pid="11" name="Mendeley Recent Style Id 1_1">
    <vt:lpwstr>http://www.zotero.org/styles/american-political-science-association</vt:lpwstr>
  </property>
  <property fmtid="{D5CDD505-2E9C-101B-9397-08002B2CF9AE}" pid="12" name="Mendeley Recent Style Name 1_1">
    <vt:lpwstr>American Political Science Association</vt:lpwstr>
  </property>
  <property fmtid="{D5CDD505-2E9C-101B-9397-08002B2CF9AE}" pid="13" name="Mendeley Recent Style Id 2_1">
    <vt:lpwstr>http://www.zotero.org/styles/apa</vt:lpwstr>
  </property>
  <property fmtid="{D5CDD505-2E9C-101B-9397-08002B2CF9AE}" pid="14" name="Mendeley Recent Style Name 2_1">
    <vt:lpwstr>American Psychological Association 7th edition</vt:lpwstr>
  </property>
  <property fmtid="{D5CDD505-2E9C-101B-9397-08002B2CF9AE}" pid="15" name="Mendeley Recent Style Id 3_1">
    <vt:lpwstr>http://www.zotero.org/styles/american-sociological-association</vt:lpwstr>
  </property>
  <property fmtid="{D5CDD505-2E9C-101B-9397-08002B2CF9AE}" pid="16" name="Mendeley Recent Style Name 3_1">
    <vt:lpwstr>American Sociological Association</vt:lpwstr>
  </property>
  <property fmtid="{D5CDD505-2E9C-101B-9397-08002B2CF9AE}" pid="17" name="Mendeley Recent Style Id 4_1">
    <vt:lpwstr>http://www.zotero.org/styles/chicago-author-date</vt:lpwstr>
  </property>
  <property fmtid="{D5CDD505-2E9C-101B-9397-08002B2CF9AE}" pid="18" name="Mendeley Recent Style Name 4_1">
    <vt:lpwstr>Chicago Manual of Style 17th edition (author-date)</vt:lpwstr>
  </property>
  <property fmtid="{D5CDD505-2E9C-101B-9397-08002B2CF9AE}" pid="19" name="Mendeley Recent Style Id 5_1">
    <vt:lpwstr>http://www.zotero.org/styles/harvard-cite-them-right</vt:lpwstr>
  </property>
  <property fmtid="{D5CDD505-2E9C-101B-9397-08002B2CF9AE}" pid="20" name="Mendeley Recent Style Name 5_1">
    <vt:lpwstr>Cite Them Right 10th edition - Harvard</vt:lpwstr>
  </property>
  <property fmtid="{D5CDD505-2E9C-101B-9397-08002B2CF9AE}" pid="21" name="Mendeley Recent Style Id 6_1">
    <vt:lpwstr>http://www.zotero.org/styles/harvard1</vt:lpwstr>
  </property>
  <property fmtid="{D5CDD505-2E9C-101B-9397-08002B2CF9AE}" pid="22" name="Mendeley Recent Style Name 6_1">
    <vt:lpwstr>Harvard reference format 1 (deprecated)</vt:lpwstr>
  </property>
  <property fmtid="{D5CDD505-2E9C-101B-9397-08002B2CF9AE}" pid="23" name="Mendeley Recent Style Id 7_1">
    <vt:lpwstr>http://www.zotero.org/styles/modern-humanities-research-association</vt:lpwstr>
  </property>
  <property fmtid="{D5CDD505-2E9C-101B-9397-08002B2CF9AE}" pid="24" name="Mendeley Recent Style Name 7_1">
    <vt:lpwstr>Modern Humanities Research Association 3rd edition (note with bibliography)</vt:lpwstr>
  </property>
  <property fmtid="{D5CDD505-2E9C-101B-9397-08002B2CF9AE}" pid="25" name="Mendeley Recent Style Id 8_1">
    <vt:lpwstr>http://www.zotero.org/styles/modern-language-association</vt:lpwstr>
  </property>
  <property fmtid="{D5CDD505-2E9C-101B-9397-08002B2CF9AE}" pid="26" name="Mendeley Recent Style Name 8_1">
    <vt:lpwstr>Modern Language Association 8th edition</vt:lpwstr>
  </property>
  <property fmtid="{D5CDD505-2E9C-101B-9397-08002B2CF9AE}" pid="27" name="Mendeley Recent Style Id 9_1">
    <vt:lpwstr>http://www.zotero.org/styles/nature</vt:lpwstr>
  </property>
  <property fmtid="{D5CDD505-2E9C-101B-9397-08002B2CF9AE}" pid="28" name="Mendeley Recent Style Name 9_1">
    <vt:lpwstr>Nature</vt:lpwstr>
  </property>
  <property fmtid="{D5CDD505-2E9C-101B-9397-08002B2CF9AE}" pid="29" name="GrammarlyDocumentId">
    <vt:lpwstr>c6a3f9c8de03744a0bfd4890e9887d2f61b7743d88b455bdc37fc4485037eed6</vt:lpwstr>
  </property>
</Properties>
</file>